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37CC1C" w14:textId="77777777" w:rsidR="006F6D93" w:rsidRDefault="006F6D93" w:rsidP="006F6D93">
      <w:pPr>
        <w:jc w:val="center"/>
        <w:rPr>
          <w:rFonts w:ascii="Times New Roman" w:hAnsi="Times New Roman" w:cs="Times New Roman"/>
          <w:b/>
          <w:bCs/>
          <w:sz w:val="24"/>
          <w:szCs w:val="24"/>
          <w:lang w:val="de-AT"/>
        </w:rPr>
      </w:pPr>
      <w:r>
        <w:rPr>
          <w:rFonts w:ascii="Times New Roman" w:hAnsi="Times New Roman" w:cs="Times New Roman"/>
          <w:b/>
          <w:bCs/>
          <w:sz w:val="24"/>
          <w:szCs w:val="24"/>
          <w:lang w:val="de-AT"/>
        </w:rPr>
        <w:t xml:space="preserve">„Das Leben stottert im trunkenen Mut. </w:t>
      </w:r>
      <w:r>
        <w:rPr>
          <w:rFonts w:ascii="Times New Roman" w:hAnsi="Times New Roman" w:cs="Times New Roman"/>
          <w:b/>
          <w:bCs/>
          <w:sz w:val="24"/>
          <w:szCs w:val="24"/>
          <w:lang w:val="de-AT"/>
        </w:rPr>
        <w:br/>
        <w:t xml:space="preserve">Das Gesetz aber spricht mit nüchternem Sinn.“  Elfriede </w:t>
      </w:r>
      <w:r w:rsidRPr="00997654">
        <w:rPr>
          <w:rFonts w:ascii="Times New Roman" w:hAnsi="Times New Roman" w:cs="Times New Roman"/>
          <w:b/>
          <w:bCs/>
          <w:sz w:val="24"/>
          <w:szCs w:val="24"/>
          <w:lang w:val="de-AT"/>
        </w:rPr>
        <w:t>Jelinek</w:t>
      </w:r>
      <w:r>
        <w:rPr>
          <w:rFonts w:ascii="Times New Roman" w:hAnsi="Times New Roman" w:cs="Times New Roman"/>
          <w:b/>
          <w:bCs/>
          <w:sz w:val="24"/>
          <w:szCs w:val="24"/>
          <w:lang w:val="de-AT"/>
        </w:rPr>
        <w:t>s „Die Schutzbefohlenen“ aus der interdisziplinären Perspektive von Recht und Literatur</w:t>
      </w:r>
      <w:r>
        <w:rPr>
          <w:rStyle w:val="Funotenzeichen"/>
          <w:rFonts w:ascii="Times New Roman" w:hAnsi="Times New Roman" w:cs="Times New Roman"/>
          <w:b/>
          <w:bCs/>
          <w:sz w:val="24"/>
          <w:szCs w:val="24"/>
          <w:lang w:val="de-AT"/>
        </w:rPr>
        <w:footnoteReference w:id="1"/>
      </w:r>
    </w:p>
    <w:p w14:paraId="029E0360" w14:textId="77777777" w:rsidR="006F6D93" w:rsidRDefault="006F6D93" w:rsidP="006F6D93">
      <w:pPr>
        <w:jc w:val="center"/>
        <w:rPr>
          <w:rFonts w:ascii="Times New Roman" w:hAnsi="Times New Roman" w:cs="Times New Roman"/>
          <w:b/>
          <w:bCs/>
          <w:sz w:val="24"/>
          <w:szCs w:val="24"/>
          <w:lang w:val="de-AT"/>
        </w:rPr>
      </w:pPr>
      <w:r w:rsidRPr="00E607E4">
        <w:rPr>
          <w:rFonts w:ascii="Times New Roman" w:hAnsi="Times New Roman" w:cs="Times New Roman"/>
          <w:b/>
          <w:bCs/>
          <w:sz w:val="24"/>
          <w:szCs w:val="24"/>
          <w:lang w:val="de-AT"/>
        </w:rPr>
        <w:t>Péter Munkácsi</w:t>
      </w:r>
    </w:p>
    <w:p w14:paraId="02F42C02" w14:textId="77777777" w:rsidR="006F6D93" w:rsidRPr="00E607E4" w:rsidRDefault="006F6D93" w:rsidP="006F6D93">
      <w:pPr>
        <w:jc w:val="center"/>
        <w:rPr>
          <w:rFonts w:ascii="Times New Roman" w:hAnsi="Times New Roman" w:cs="Times New Roman"/>
          <w:b/>
          <w:bCs/>
          <w:sz w:val="24"/>
          <w:szCs w:val="24"/>
          <w:lang w:val="de-AT"/>
        </w:rPr>
      </w:pPr>
    </w:p>
    <w:p w14:paraId="6C48E9B2" w14:textId="77777777" w:rsidR="006F6D93" w:rsidRPr="00E607E4" w:rsidRDefault="006F6D93" w:rsidP="006F6D93">
      <w:pPr>
        <w:jc w:val="center"/>
        <w:rPr>
          <w:rFonts w:ascii="Times New Roman" w:hAnsi="Times New Roman" w:cs="Times New Roman"/>
          <w:i/>
          <w:iCs/>
          <w:sz w:val="24"/>
          <w:szCs w:val="24"/>
          <w:lang w:val="de-AT"/>
        </w:rPr>
      </w:pPr>
      <w:r w:rsidRPr="00E607E4">
        <w:rPr>
          <w:rFonts w:ascii="Times New Roman" w:hAnsi="Times New Roman" w:cs="Times New Roman"/>
          <w:i/>
          <w:iCs/>
          <w:sz w:val="24"/>
          <w:szCs w:val="24"/>
          <w:lang w:val="de-AT"/>
        </w:rPr>
        <w:t>Elfriede Jelinek: Wissenschaft – Kunst – Demokratie</w:t>
      </w:r>
    </w:p>
    <w:p w14:paraId="443A3F81" w14:textId="77777777" w:rsidR="006F6D93" w:rsidRPr="00E607E4" w:rsidRDefault="006F6D93" w:rsidP="006F6D93">
      <w:pPr>
        <w:spacing w:after="0"/>
        <w:jc w:val="center"/>
        <w:rPr>
          <w:rFonts w:ascii="Times New Roman" w:hAnsi="Times New Roman" w:cs="Times New Roman"/>
          <w:i/>
          <w:iCs/>
          <w:sz w:val="24"/>
          <w:szCs w:val="24"/>
          <w:lang w:val="de-AT"/>
        </w:rPr>
      </w:pPr>
      <w:r w:rsidRPr="00E607E4">
        <w:rPr>
          <w:rFonts w:ascii="Times New Roman" w:hAnsi="Times New Roman" w:cs="Times New Roman"/>
          <w:i/>
          <w:iCs/>
          <w:sz w:val="24"/>
          <w:szCs w:val="24"/>
          <w:lang w:val="de-AT"/>
        </w:rPr>
        <w:t>Universität Wien / Musik und Kunst Privatuniversität der Stadt Wien (Österreich)</w:t>
      </w:r>
    </w:p>
    <w:p w14:paraId="09A31527" w14:textId="77777777" w:rsidR="006F6D93" w:rsidRPr="00E607E4" w:rsidRDefault="006F6D93" w:rsidP="006F6D93">
      <w:pPr>
        <w:spacing w:after="0"/>
        <w:jc w:val="center"/>
        <w:rPr>
          <w:rFonts w:ascii="Times New Roman" w:hAnsi="Times New Roman" w:cs="Times New Roman"/>
          <w:i/>
          <w:iCs/>
          <w:sz w:val="24"/>
          <w:szCs w:val="24"/>
          <w:lang w:val="de-AT"/>
        </w:rPr>
      </w:pPr>
      <w:r w:rsidRPr="00E607E4">
        <w:rPr>
          <w:rFonts w:ascii="Times New Roman" w:hAnsi="Times New Roman" w:cs="Times New Roman"/>
          <w:i/>
          <w:iCs/>
          <w:sz w:val="24"/>
          <w:szCs w:val="24"/>
          <w:lang w:val="de-AT"/>
        </w:rPr>
        <w:t>Interdisziplinärer Workshop für Nachwuchswissenschaftler*innen und Nachwuchs-</w:t>
      </w:r>
    </w:p>
    <w:p w14:paraId="506F321D" w14:textId="77777777" w:rsidR="006F6D93" w:rsidRDefault="006F6D93" w:rsidP="006F6D93">
      <w:pPr>
        <w:spacing w:after="0"/>
        <w:jc w:val="center"/>
        <w:rPr>
          <w:rFonts w:ascii="Times New Roman" w:hAnsi="Times New Roman" w:cs="Times New Roman"/>
          <w:sz w:val="24"/>
          <w:szCs w:val="24"/>
          <w:lang w:val="de-AT"/>
        </w:rPr>
      </w:pPr>
      <w:r w:rsidRPr="00E607E4">
        <w:rPr>
          <w:rFonts w:ascii="Times New Roman" w:hAnsi="Times New Roman" w:cs="Times New Roman"/>
          <w:i/>
          <w:iCs/>
          <w:sz w:val="24"/>
          <w:szCs w:val="24"/>
          <w:lang w:val="de-AT"/>
        </w:rPr>
        <w:t>künstler*innen</w:t>
      </w:r>
    </w:p>
    <w:p w14:paraId="54E25E2C" w14:textId="77777777" w:rsidR="006F6D93" w:rsidRDefault="006F6D93" w:rsidP="006F6D93">
      <w:pPr>
        <w:spacing w:after="0"/>
        <w:jc w:val="center"/>
        <w:rPr>
          <w:rFonts w:ascii="Times New Roman" w:hAnsi="Times New Roman" w:cs="Times New Roman"/>
          <w:sz w:val="24"/>
          <w:szCs w:val="24"/>
          <w:lang w:val="de-AT"/>
        </w:rPr>
      </w:pPr>
    </w:p>
    <w:p w14:paraId="0B439D72" w14:textId="77777777" w:rsidR="006F6D93" w:rsidRDefault="006F6D93" w:rsidP="006F6D93">
      <w:pPr>
        <w:spacing w:after="0"/>
        <w:jc w:val="center"/>
        <w:rPr>
          <w:rFonts w:ascii="Times New Roman" w:hAnsi="Times New Roman" w:cs="Times New Roman"/>
          <w:sz w:val="24"/>
          <w:szCs w:val="24"/>
          <w:lang w:val="de-AT"/>
        </w:rPr>
      </w:pPr>
      <w:r>
        <w:rPr>
          <w:rFonts w:ascii="Times New Roman" w:hAnsi="Times New Roman" w:cs="Times New Roman"/>
          <w:sz w:val="24"/>
          <w:szCs w:val="24"/>
          <w:lang w:val="de-AT"/>
        </w:rPr>
        <w:t>2-4. November 2026, Wien</w:t>
      </w:r>
    </w:p>
    <w:p w14:paraId="3BFBE1A0" w14:textId="77777777" w:rsidR="006F6D93" w:rsidRDefault="006F6D93" w:rsidP="006F6D93">
      <w:pPr>
        <w:jc w:val="center"/>
        <w:rPr>
          <w:rFonts w:ascii="Times New Roman" w:hAnsi="Times New Roman" w:cs="Times New Roman"/>
          <w:sz w:val="24"/>
          <w:szCs w:val="24"/>
          <w:lang w:val="de-AT"/>
        </w:rPr>
      </w:pPr>
    </w:p>
    <w:p w14:paraId="490B8E57" w14:textId="77777777" w:rsidR="006F6D93" w:rsidRDefault="006F6D93" w:rsidP="006F6D93">
      <w:pPr>
        <w:jc w:val="both"/>
        <w:rPr>
          <w:rFonts w:ascii="Times New Roman" w:hAnsi="Times New Roman" w:cs="Times New Roman"/>
          <w:sz w:val="24"/>
          <w:szCs w:val="24"/>
          <w:u w:val="single"/>
          <w:lang w:val="de-AT"/>
        </w:rPr>
      </w:pPr>
      <w:r>
        <w:rPr>
          <w:rFonts w:ascii="Times New Roman" w:hAnsi="Times New Roman" w:cs="Times New Roman"/>
          <w:sz w:val="24"/>
          <w:szCs w:val="24"/>
          <w:u w:val="single"/>
          <w:lang w:val="de-AT"/>
        </w:rPr>
        <w:t>Abstract</w:t>
      </w:r>
    </w:p>
    <w:p w14:paraId="5B6089ED" w14:textId="77777777" w:rsidR="006F6D93" w:rsidRDefault="006F6D93" w:rsidP="006F6D93">
      <w:pPr>
        <w:jc w:val="both"/>
        <w:rPr>
          <w:rFonts w:ascii="Times New Roman" w:hAnsi="Times New Roman" w:cs="Times New Roman"/>
          <w:sz w:val="24"/>
          <w:szCs w:val="24"/>
          <w:lang w:val="de-AT"/>
        </w:rPr>
      </w:pPr>
      <w:r>
        <w:rPr>
          <w:rFonts w:ascii="Times New Roman" w:hAnsi="Times New Roman" w:cs="Times New Roman"/>
          <w:sz w:val="24"/>
          <w:szCs w:val="24"/>
          <w:lang w:val="de-AT"/>
        </w:rPr>
        <w:t>„</w:t>
      </w:r>
      <w:r>
        <w:rPr>
          <w:rFonts w:ascii="Times New Roman" w:hAnsi="Times New Roman" w:cs="Times New Roman"/>
          <w:i/>
          <w:iCs/>
          <w:sz w:val="24"/>
          <w:szCs w:val="24"/>
          <w:lang w:val="de-AT"/>
        </w:rPr>
        <w:t>Wir sind das größte Problem, das sie haben, wir sollen zur Hölle gehen, wir sollen nicht unbehelligt hier leben dürfen. Für uns kein Grund, hier zu bleiben, kein Grund, hier zu wohnen, und daher auch keine Grundrechte für uns. Allerdings auch keine Grundbesitzabgaben. Kein Grund, kein Grundgesetz, keine Bürger – kein Bürgerrecht und keine Gleichheit, für niemanden, für uns schon gar nicht, wir verlieren die Rechte zuallererst, die Rechte will es so. Sie säumen nicht, da strenge Not sie zwingt oder was sie halt antreibt, uns auszutreiben</w:t>
      </w:r>
      <w:r>
        <w:rPr>
          <w:rFonts w:ascii="Times New Roman" w:hAnsi="Times New Roman" w:cs="Times New Roman"/>
          <w:sz w:val="24"/>
          <w:szCs w:val="24"/>
          <w:lang w:val="de-AT"/>
        </w:rPr>
        <w:t>.“</w:t>
      </w:r>
      <w:r>
        <w:rPr>
          <w:rStyle w:val="Funotenzeichen"/>
          <w:rFonts w:ascii="Times New Roman" w:hAnsi="Times New Roman" w:cs="Times New Roman"/>
          <w:sz w:val="24"/>
          <w:szCs w:val="24"/>
          <w:lang w:val="de-AT"/>
        </w:rPr>
        <w:footnoteReference w:id="2"/>
      </w:r>
    </w:p>
    <w:p w14:paraId="21983FA3" w14:textId="77777777" w:rsidR="006F6D93" w:rsidRDefault="006F6D93" w:rsidP="006F6D93">
      <w:pPr>
        <w:jc w:val="both"/>
        <w:rPr>
          <w:rFonts w:ascii="Times New Roman" w:hAnsi="Times New Roman" w:cs="Times New Roman"/>
          <w:sz w:val="24"/>
          <w:szCs w:val="24"/>
          <w:lang w:val="de-AT"/>
        </w:rPr>
      </w:pPr>
      <w:r>
        <w:rPr>
          <w:rFonts w:ascii="Times New Roman" w:hAnsi="Times New Roman" w:cs="Times New Roman"/>
          <w:sz w:val="24"/>
          <w:szCs w:val="24"/>
          <w:lang w:val="de-AT"/>
        </w:rPr>
        <w:t>Elfriede Jelineks dramatisch kraftvolle Zeilen aus „</w:t>
      </w:r>
      <w:r>
        <w:rPr>
          <w:rFonts w:ascii="Times New Roman" w:hAnsi="Times New Roman" w:cs="Times New Roman"/>
          <w:i/>
          <w:iCs/>
          <w:sz w:val="24"/>
          <w:szCs w:val="24"/>
          <w:lang w:val="de-AT"/>
        </w:rPr>
        <w:t>Die Schutzbefohlenen</w:t>
      </w:r>
      <w:r>
        <w:rPr>
          <w:rFonts w:ascii="Times New Roman" w:hAnsi="Times New Roman" w:cs="Times New Roman"/>
          <w:sz w:val="24"/>
          <w:szCs w:val="24"/>
          <w:lang w:val="de-AT"/>
        </w:rPr>
        <w:t xml:space="preserve">” haben mich dazu inspiriert, ihr Werk aus einer interdisziplinären Perspektive zwischen Recht und Literatur zu untersuchen. Während die Migrations- und Asylpolitik, insbesondere das Management von Landesgrenzen, das Wirtschaftswachstum und die Einhaltung des Völkerrechts und der </w:t>
      </w:r>
      <w:r w:rsidRPr="00997654">
        <w:rPr>
          <w:rFonts w:ascii="Times New Roman" w:hAnsi="Times New Roman" w:cs="Times New Roman"/>
          <w:sz w:val="24"/>
          <w:szCs w:val="24"/>
          <w:lang w:val="de-AT"/>
        </w:rPr>
        <w:t>Menschenrechte,</w:t>
      </w:r>
      <w:r>
        <w:rPr>
          <w:lang w:val="de-AT"/>
        </w:rPr>
        <w:t xml:space="preserve"> </w:t>
      </w:r>
      <w:r w:rsidRPr="00997654">
        <w:rPr>
          <w:rFonts w:ascii="Times New Roman" w:hAnsi="Times New Roman" w:cs="Times New Roman"/>
          <w:sz w:val="24"/>
          <w:szCs w:val="24"/>
          <w:lang w:val="de-AT"/>
        </w:rPr>
        <w:t>ist v</w:t>
      </w:r>
      <w:r>
        <w:rPr>
          <w:rFonts w:ascii="Times New Roman" w:hAnsi="Times New Roman" w:cs="Times New Roman"/>
          <w:sz w:val="24"/>
          <w:szCs w:val="24"/>
          <w:lang w:val="de-AT"/>
        </w:rPr>
        <w:t>on zentraler Bedeutung für die innere Sicherheit der EU. Die Anti-Migrations-Rhetorik und der Vormarsch des populistischen Nationalismus in Europa lassen sich in der Politik und im Rechtssystem Polens, der Slowakei und Italiens deutlich erkennen. Bedauerlicherweise trifft diese Feststellung auf das von Viktor Orbán proklamierte „illiberal-demokratische“ Ungarn, das Land, aus dem ich stamme, in noch viel stärkerem Maße zu. Die Europäische Kommission hat im Jahr 2024 den Pakt zu Migration und Asyl verabschiedet, um die Migration auf würdige und nachhaltige Weise zu steuern. Im selben Jahr überarbeitete Elfriede Jelinek ihren 2013 verfassten Text „</w:t>
      </w:r>
      <w:r>
        <w:rPr>
          <w:rFonts w:ascii="Times New Roman" w:hAnsi="Times New Roman" w:cs="Times New Roman"/>
          <w:i/>
          <w:iCs/>
          <w:sz w:val="24"/>
          <w:szCs w:val="24"/>
          <w:lang w:val="de-AT"/>
        </w:rPr>
        <w:t>Die Schutzbefohlenen</w:t>
      </w:r>
      <w:r>
        <w:rPr>
          <w:rFonts w:ascii="Times New Roman" w:hAnsi="Times New Roman" w:cs="Times New Roman"/>
          <w:sz w:val="24"/>
          <w:szCs w:val="24"/>
          <w:lang w:val="de-AT"/>
        </w:rPr>
        <w:t xml:space="preserve">“, aus dem ich das obige Zitat entnommen habe. Jelineks Werk und dessen deutschsprachige Theaterinszenierungen gelten als eklatantes Beispiel für eine kosmopolitischere Annäherung an das Thema der Situation der Flüchtlinge. </w:t>
      </w:r>
    </w:p>
    <w:p w14:paraId="68CE1153" w14:textId="77777777" w:rsidR="006F6D93" w:rsidRDefault="006F6D93" w:rsidP="006F6D93">
      <w:pPr>
        <w:jc w:val="both"/>
        <w:rPr>
          <w:rFonts w:ascii="Times New Roman" w:hAnsi="Times New Roman" w:cs="Times New Roman"/>
          <w:sz w:val="24"/>
          <w:szCs w:val="24"/>
          <w:lang w:val="de-AT"/>
        </w:rPr>
      </w:pPr>
      <w:r>
        <w:rPr>
          <w:rFonts w:ascii="Times New Roman" w:hAnsi="Times New Roman" w:cs="Times New Roman"/>
          <w:sz w:val="24"/>
          <w:szCs w:val="24"/>
          <w:lang w:val="de-AT"/>
        </w:rPr>
        <w:t xml:space="preserve">Mit der Hilfe dieses Workshop-Projekts möchte ich Jelineks Werk unter dem Aspekt das Recht und Literatur in den Fokus rücken und präsentieren. Die Forschungen zum Thema „Recht und Literatur“ sind Teil sogenannter interdisziplinärer Ansätze, die – im Vergleich zum spezifischen Begriffsapparat und den Analyseverfahren der „autonomen Rechtswissenschaft“ – versuchen, solche Begriffe, Inhalte, Methoden und Erkenntnisse von Wissenschaftsbereichen und </w:t>
      </w:r>
      <w:r>
        <w:rPr>
          <w:rFonts w:ascii="Times New Roman" w:hAnsi="Times New Roman" w:cs="Times New Roman"/>
          <w:sz w:val="24"/>
          <w:szCs w:val="24"/>
          <w:lang w:val="de-AT"/>
        </w:rPr>
        <w:lastRenderedPageBreak/>
        <w:t>Wissensformen heranzuziehen, die in Bezug auf jeden einzelnen dieser Bereiche selbst sehr vielfältig sind.</w:t>
      </w:r>
      <w:r>
        <w:rPr>
          <w:rStyle w:val="Funotenzeichen"/>
          <w:rFonts w:ascii="Times New Roman" w:hAnsi="Times New Roman" w:cs="Times New Roman"/>
          <w:sz w:val="24"/>
          <w:szCs w:val="24"/>
          <w:lang w:val="de-AT"/>
        </w:rPr>
        <w:footnoteReference w:id="3"/>
      </w:r>
    </w:p>
    <w:p w14:paraId="447B976F" w14:textId="77777777" w:rsidR="006F6D93" w:rsidRDefault="006F6D93" w:rsidP="006F6D93">
      <w:pPr>
        <w:jc w:val="both"/>
        <w:rPr>
          <w:rFonts w:ascii="Times New Roman" w:hAnsi="Times New Roman" w:cs="Times New Roman"/>
          <w:i/>
          <w:iCs/>
          <w:sz w:val="24"/>
          <w:szCs w:val="24"/>
          <w:lang w:val="de-AT"/>
        </w:rPr>
      </w:pPr>
      <w:r>
        <w:rPr>
          <w:rFonts w:ascii="Times New Roman" w:hAnsi="Times New Roman" w:cs="Times New Roman"/>
          <w:sz w:val="24"/>
          <w:szCs w:val="24"/>
          <w:lang w:val="de-AT"/>
        </w:rPr>
        <w:t>Ein weiteres Ziel des Projekts ist die Wiederaufnahme meines im Herbst 2025 unterbrochenen Promotionsverfahrens, in dessen Rahmen ich an der Fakultät für Staats- und Rechtswissenschaften der ELTE in Budapest an einer Dissertation mit dem Arbeitstitel:</w:t>
      </w:r>
      <w:r>
        <w:rPr>
          <w:rFonts w:ascii="Times New Roman" w:hAnsi="Times New Roman" w:cs="Times New Roman"/>
          <w:i/>
          <w:iCs/>
          <w:sz w:val="24"/>
          <w:szCs w:val="24"/>
          <w:lang w:val="de-AT"/>
        </w:rPr>
        <w:t xml:space="preserve"> „Intellekt – Genius. Die Vorgeschichte von Recht und Literatur in der ungarischen Rechtsphilosophie der Zwischenkriegszeit“</w:t>
      </w:r>
      <w:r>
        <w:rPr>
          <w:rFonts w:ascii="Times New Roman" w:hAnsi="Times New Roman" w:cs="Times New Roman"/>
          <w:sz w:val="24"/>
          <w:szCs w:val="24"/>
          <w:lang w:val="de-AT"/>
        </w:rPr>
        <w:t xml:space="preserve"> arbeite.</w:t>
      </w:r>
    </w:p>
    <w:p w14:paraId="546D67F2" w14:textId="77777777" w:rsidR="006F6D93" w:rsidRDefault="006F6D93" w:rsidP="006F6D93">
      <w:pPr>
        <w:jc w:val="both"/>
        <w:rPr>
          <w:rFonts w:ascii="Times New Roman" w:hAnsi="Times New Roman" w:cs="Times New Roman"/>
          <w:sz w:val="24"/>
          <w:szCs w:val="24"/>
          <w:u w:val="single"/>
          <w:lang w:val="de-AT"/>
        </w:rPr>
      </w:pPr>
    </w:p>
    <w:p w14:paraId="04399AF7" w14:textId="77777777" w:rsidR="006F6D93" w:rsidRDefault="006F6D93" w:rsidP="006F6D93">
      <w:pPr>
        <w:jc w:val="both"/>
        <w:rPr>
          <w:rFonts w:ascii="Times New Roman" w:hAnsi="Times New Roman" w:cs="Times New Roman"/>
          <w:sz w:val="24"/>
          <w:szCs w:val="24"/>
          <w:u w:val="single"/>
          <w:lang w:val="de-AT"/>
        </w:rPr>
      </w:pPr>
      <w:r>
        <w:rPr>
          <w:rFonts w:ascii="Times New Roman" w:hAnsi="Times New Roman" w:cs="Times New Roman"/>
          <w:sz w:val="24"/>
          <w:szCs w:val="24"/>
          <w:u w:val="single"/>
          <w:lang w:val="de-AT"/>
        </w:rPr>
        <w:t>Kurzvita</w:t>
      </w:r>
    </w:p>
    <w:p w14:paraId="30FAA65C" w14:textId="77777777" w:rsidR="006F6D93" w:rsidRDefault="006F6D93" w:rsidP="006F6D93">
      <w:pPr>
        <w:jc w:val="both"/>
        <w:rPr>
          <w:rFonts w:ascii="Times New Roman" w:hAnsi="Times New Roman" w:cs="Times New Roman"/>
          <w:sz w:val="24"/>
          <w:szCs w:val="24"/>
          <w:lang w:val="de-AT"/>
        </w:rPr>
      </w:pPr>
      <w:r>
        <w:rPr>
          <w:rFonts w:ascii="Times New Roman" w:hAnsi="Times New Roman" w:cs="Times New Roman"/>
          <w:sz w:val="24"/>
          <w:szCs w:val="24"/>
          <w:lang w:val="de-AT"/>
        </w:rPr>
        <w:t xml:space="preserve">Péter Munkácsi wurde in Budapest geboren. Er arbeitete über zwei Jahrzehnte lang in der ungarischen öffentlichen Verwaltung als Beamter und IP-Experte in leitender Position. Nach dem Erwerb von zwei LL.M.-Abschlüssen war er Promovend der Doktorandenschule der Universität ELTE in Budapest. </w:t>
      </w:r>
      <w:r>
        <w:rPr>
          <w:rFonts w:ascii="Times New Roman" w:hAnsi="Times New Roman" w:cs="Times New Roman"/>
          <w:sz w:val="24"/>
          <w:szCs w:val="24"/>
          <w:lang w:val="de-AT"/>
        </w:rPr>
        <w:br/>
        <w:t>Zuletzt war er als Statist in dem Film „</w:t>
      </w:r>
      <w:r>
        <w:rPr>
          <w:rFonts w:ascii="Times New Roman" w:hAnsi="Times New Roman" w:cs="Times New Roman"/>
          <w:i/>
          <w:iCs/>
          <w:sz w:val="24"/>
          <w:szCs w:val="24"/>
          <w:lang w:val="de-AT"/>
        </w:rPr>
        <w:t>Nürnberg</w:t>
      </w:r>
      <w:r>
        <w:rPr>
          <w:rFonts w:ascii="Times New Roman" w:hAnsi="Times New Roman" w:cs="Times New Roman"/>
          <w:sz w:val="24"/>
          <w:szCs w:val="24"/>
          <w:lang w:val="de-AT"/>
        </w:rPr>
        <w:t>“ (2025) zu sehen. Péter tritt außerdem in dem Stück „</w:t>
      </w:r>
      <w:r>
        <w:rPr>
          <w:rFonts w:ascii="Times New Roman" w:hAnsi="Times New Roman" w:cs="Times New Roman"/>
          <w:i/>
          <w:iCs/>
          <w:sz w:val="24"/>
          <w:szCs w:val="24"/>
          <w:lang w:val="de-AT"/>
        </w:rPr>
        <w:t>Jedermann</w:t>
      </w:r>
      <w:r>
        <w:rPr>
          <w:rFonts w:ascii="Times New Roman" w:hAnsi="Times New Roman" w:cs="Times New Roman"/>
          <w:sz w:val="24"/>
          <w:szCs w:val="24"/>
          <w:lang w:val="de-AT"/>
        </w:rPr>
        <w:t xml:space="preserve">“ auf, </w:t>
      </w:r>
      <w:proofErr w:type="gramStart"/>
      <w:r>
        <w:rPr>
          <w:rFonts w:ascii="Times New Roman" w:hAnsi="Times New Roman" w:cs="Times New Roman"/>
          <w:sz w:val="24"/>
          <w:szCs w:val="24"/>
          <w:lang w:val="de-AT"/>
        </w:rPr>
        <w:t>das</w:t>
      </w:r>
      <w:proofErr w:type="gramEnd"/>
      <w:r>
        <w:rPr>
          <w:rFonts w:ascii="Times New Roman" w:hAnsi="Times New Roman" w:cs="Times New Roman"/>
          <w:sz w:val="24"/>
          <w:szCs w:val="24"/>
          <w:lang w:val="de-AT"/>
        </w:rPr>
        <w:t xml:space="preserve"> Robert Carsen bei den Salzburgen Festspielen inszeniert.</w:t>
      </w:r>
    </w:p>
    <w:p w14:paraId="1ACCECD8" w14:textId="77777777" w:rsidR="006F6D93" w:rsidRDefault="006F6D93" w:rsidP="006F6D93">
      <w:pPr>
        <w:jc w:val="both"/>
        <w:rPr>
          <w:lang w:val="hu-HU"/>
        </w:rPr>
      </w:pPr>
    </w:p>
    <w:p w14:paraId="42A6D0A4" w14:textId="77777777" w:rsidR="006F6D93" w:rsidRDefault="006F6D93" w:rsidP="006F6D93">
      <w:pPr>
        <w:jc w:val="both"/>
        <w:rPr>
          <w:lang w:val="hu-HU"/>
        </w:rPr>
      </w:pPr>
    </w:p>
    <w:p w14:paraId="149F09EF" w14:textId="77777777" w:rsidR="006F6D93" w:rsidRDefault="006F6D93" w:rsidP="006F6D93">
      <w:pPr>
        <w:jc w:val="both"/>
        <w:rPr>
          <w:lang w:val="hu-HU"/>
        </w:rPr>
      </w:pPr>
    </w:p>
    <w:p w14:paraId="344CCDF2" w14:textId="77777777" w:rsidR="006F6D93" w:rsidRDefault="006F6D93" w:rsidP="006F6D93">
      <w:pPr>
        <w:jc w:val="center"/>
        <w:rPr>
          <w:lang w:val="de-AT"/>
        </w:rPr>
      </w:pPr>
    </w:p>
    <w:p w14:paraId="3C722FC9" w14:textId="77777777" w:rsidR="006F6D93" w:rsidRDefault="006F6D93">
      <w:pPr>
        <w:jc w:val="center"/>
        <w:rPr>
          <w:rFonts w:ascii="Times New Roman" w:hAnsi="Times New Roman" w:cs="Times New Roman"/>
          <w:b/>
          <w:bCs/>
          <w:sz w:val="24"/>
          <w:szCs w:val="24"/>
          <w:lang w:val="de-AT"/>
        </w:rPr>
      </w:pPr>
    </w:p>
    <w:p w14:paraId="2B7B650C" w14:textId="77777777" w:rsidR="006F6D93" w:rsidRDefault="006F6D93">
      <w:pPr>
        <w:jc w:val="center"/>
        <w:rPr>
          <w:rFonts w:ascii="Times New Roman" w:hAnsi="Times New Roman" w:cs="Times New Roman"/>
          <w:b/>
          <w:bCs/>
          <w:sz w:val="24"/>
          <w:szCs w:val="24"/>
          <w:lang w:val="de-AT"/>
        </w:rPr>
      </w:pPr>
    </w:p>
    <w:p w14:paraId="32506A4A" w14:textId="77777777" w:rsidR="006F6D93" w:rsidRDefault="006F6D93">
      <w:pPr>
        <w:jc w:val="center"/>
        <w:rPr>
          <w:rFonts w:ascii="Times New Roman" w:hAnsi="Times New Roman" w:cs="Times New Roman"/>
          <w:b/>
          <w:bCs/>
          <w:sz w:val="24"/>
          <w:szCs w:val="24"/>
          <w:lang w:val="de-AT"/>
        </w:rPr>
      </w:pPr>
    </w:p>
    <w:p w14:paraId="74E30042" w14:textId="77777777" w:rsidR="006F6D93" w:rsidRDefault="006F6D93">
      <w:pPr>
        <w:jc w:val="center"/>
        <w:rPr>
          <w:rFonts w:ascii="Times New Roman" w:hAnsi="Times New Roman" w:cs="Times New Roman"/>
          <w:b/>
          <w:bCs/>
          <w:sz w:val="24"/>
          <w:szCs w:val="24"/>
          <w:lang w:val="de-AT"/>
        </w:rPr>
      </w:pPr>
    </w:p>
    <w:p w14:paraId="32416F72" w14:textId="77777777" w:rsidR="006F6D93" w:rsidRDefault="006F6D93">
      <w:pPr>
        <w:jc w:val="center"/>
        <w:rPr>
          <w:rFonts w:ascii="Times New Roman" w:hAnsi="Times New Roman" w:cs="Times New Roman"/>
          <w:b/>
          <w:bCs/>
          <w:sz w:val="24"/>
          <w:szCs w:val="24"/>
          <w:lang w:val="de-AT"/>
        </w:rPr>
      </w:pPr>
    </w:p>
    <w:p w14:paraId="7B257065" w14:textId="77777777" w:rsidR="006F6D93" w:rsidRDefault="006F6D93">
      <w:pPr>
        <w:jc w:val="center"/>
        <w:rPr>
          <w:rFonts w:ascii="Times New Roman" w:hAnsi="Times New Roman" w:cs="Times New Roman"/>
          <w:b/>
          <w:bCs/>
          <w:sz w:val="24"/>
          <w:szCs w:val="24"/>
          <w:lang w:val="de-AT"/>
        </w:rPr>
      </w:pPr>
    </w:p>
    <w:p w14:paraId="04F013DF" w14:textId="77777777" w:rsidR="006F6D93" w:rsidRDefault="006F6D93">
      <w:pPr>
        <w:jc w:val="center"/>
        <w:rPr>
          <w:rFonts w:ascii="Times New Roman" w:hAnsi="Times New Roman" w:cs="Times New Roman"/>
          <w:b/>
          <w:bCs/>
          <w:sz w:val="24"/>
          <w:szCs w:val="24"/>
          <w:lang w:val="de-AT"/>
        </w:rPr>
      </w:pPr>
    </w:p>
    <w:p w14:paraId="1F1C7B1C" w14:textId="77777777" w:rsidR="006F6D93" w:rsidRDefault="006F6D93">
      <w:pPr>
        <w:jc w:val="center"/>
        <w:rPr>
          <w:rFonts w:ascii="Times New Roman" w:hAnsi="Times New Roman" w:cs="Times New Roman"/>
          <w:b/>
          <w:bCs/>
          <w:sz w:val="24"/>
          <w:szCs w:val="24"/>
          <w:lang w:val="de-AT"/>
        </w:rPr>
      </w:pPr>
    </w:p>
    <w:p w14:paraId="2E6C33B5" w14:textId="77777777" w:rsidR="006F6D93" w:rsidRDefault="006F6D93">
      <w:pPr>
        <w:jc w:val="center"/>
        <w:rPr>
          <w:rFonts w:ascii="Times New Roman" w:hAnsi="Times New Roman" w:cs="Times New Roman"/>
          <w:b/>
          <w:bCs/>
          <w:sz w:val="24"/>
          <w:szCs w:val="24"/>
          <w:lang w:val="de-AT"/>
        </w:rPr>
      </w:pPr>
    </w:p>
    <w:p w14:paraId="4679D893" w14:textId="77777777" w:rsidR="006F6D93" w:rsidRDefault="006F6D93">
      <w:pPr>
        <w:jc w:val="center"/>
        <w:rPr>
          <w:rFonts w:ascii="Times New Roman" w:hAnsi="Times New Roman" w:cs="Times New Roman"/>
          <w:b/>
          <w:bCs/>
          <w:sz w:val="24"/>
          <w:szCs w:val="24"/>
          <w:lang w:val="de-AT"/>
        </w:rPr>
      </w:pPr>
    </w:p>
    <w:p w14:paraId="556902D7" w14:textId="08086E3D" w:rsidR="00C60B9D" w:rsidRDefault="00000000">
      <w:pPr>
        <w:jc w:val="center"/>
        <w:rPr>
          <w:rFonts w:ascii="Times New Roman" w:hAnsi="Times New Roman" w:cs="Times New Roman"/>
          <w:b/>
          <w:bCs/>
          <w:sz w:val="24"/>
          <w:szCs w:val="24"/>
          <w:lang w:val="de-AT"/>
        </w:rPr>
      </w:pPr>
      <w:r>
        <w:rPr>
          <w:rFonts w:ascii="Times New Roman" w:hAnsi="Times New Roman" w:cs="Times New Roman"/>
          <w:b/>
          <w:bCs/>
          <w:sz w:val="24"/>
          <w:szCs w:val="24"/>
          <w:lang w:val="de-AT"/>
        </w:rPr>
        <w:lastRenderedPageBreak/>
        <w:t xml:space="preserve">„Das Leben stottert im trunkenen Mut. </w:t>
      </w:r>
      <w:r>
        <w:rPr>
          <w:rFonts w:ascii="Times New Roman" w:hAnsi="Times New Roman" w:cs="Times New Roman"/>
          <w:b/>
          <w:bCs/>
          <w:sz w:val="24"/>
          <w:szCs w:val="24"/>
          <w:lang w:val="de-AT"/>
        </w:rPr>
        <w:br/>
        <w:t xml:space="preserve">Das Gesetz aber spricht mit nüchternem Sinn.“  Elfriede </w:t>
      </w:r>
      <w:r w:rsidRPr="00997654">
        <w:rPr>
          <w:rFonts w:ascii="Times New Roman" w:hAnsi="Times New Roman" w:cs="Times New Roman"/>
          <w:b/>
          <w:bCs/>
          <w:sz w:val="24"/>
          <w:szCs w:val="24"/>
          <w:lang w:val="de-AT"/>
        </w:rPr>
        <w:t>Jelinek</w:t>
      </w:r>
      <w:r w:rsidR="00997654">
        <w:rPr>
          <w:rFonts w:ascii="Times New Roman" w:hAnsi="Times New Roman" w:cs="Times New Roman"/>
          <w:b/>
          <w:bCs/>
          <w:sz w:val="24"/>
          <w:szCs w:val="24"/>
          <w:lang w:val="de-AT"/>
        </w:rPr>
        <w:t>s</w:t>
      </w:r>
      <w:r>
        <w:rPr>
          <w:rFonts w:ascii="Times New Roman" w:hAnsi="Times New Roman" w:cs="Times New Roman"/>
          <w:b/>
          <w:bCs/>
          <w:sz w:val="24"/>
          <w:szCs w:val="24"/>
          <w:lang w:val="de-AT"/>
        </w:rPr>
        <w:t xml:space="preserve"> „Die Schutzbefohlenen“ aus der interdisziplinären Perspektive von </w:t>
      </w:r>
      <w:r w:rsidR="00997654">
        <w:rPr>
          <w:rFonts w:ascii="Times New Roman" w:hAnsi="Times New Roman" w:cs="Times New Roman"/>
          <w:b/>
          <w:bCs/>
          <w:sz w:val="24"/>
          <w:szCs w:val="24"/>
          <w:lang w:val="de-AT"/>
        </w:rPr>
        <w:t>Recht</w:t>
      </w:r>
      <w:r>
        <w:rPr>
          <w:rFonts w:ascii="Times New Roman" w:hAnsi="Times New Roman" w:cs="Times New Roman"/>
          <w:b/>
          <w:bCs/>
          <w:sz w:val="24"/>
          <w:szCs w:val="24"/>
          <w:lang w:val="de-AT"/>
        </w:rPr>
        <w:t xml:space="preserve"> und Literatur</w:t>
      </w:r>
      <w:r w:rsidR="009D5267">
        <w:rPr>
          <w:rStyle w:val="Funotenzeichen"/>
          <w:rFonts w:ascii="Times New Roman" w:hAnsi="Times New Roman" w:cs="Times New Roman"/>
          <w:b/>
          <w:bCs/>
          <w:sz w:val="24"/>
          <w:szCs w:val="24"/>
          <w:lang w:val="de-AT"/>
        </w:rPr>
        <w:footnoteReference w:id="4"/>
      </w:r>
    </w:p>
    <w:p w14:paraId="389ED084" w14:textId="77777777" w:rsidR="00C60B9D" w:rsidRDefault="00000000">
      <w:pPr>
        <w:jc w:val="center"/>
        <w:rPr>
          <w:rFonts w:ascii="Times New Roman" w:hAnsi="Times New Roman" w:cs="Times New Roman"/>
          <w:b/>
          <w:bCs/>
          <w:sz w:val="24"/>
          <w:szCs w:val="24"/>
          <w:lang w:val="de-AT"/>
        </w:rPr>
      </w:pPr>
      <w:r w:rsidRPr="00E607E4">
        <w:rPr>
          <w:rFonts w:ascii="Times New Roman" w:hAnsi="Times New Roman" w:cs="Times New Roman"/>
          <w:b/>
          <w:bCs/>
          <w:sz w:val="24"/>
          <w:szCs w:val="24"/>
          <w:lang w:val="de-AT"/>
        </w:rPr>
        <w:t>Péter Munkácsi</w:t>
      </w:r>
    </w:p>
    <w:p w14:paraId="3EA9FB31" w14:textId="77777777" w:rsidR="00E607E4" w:rsidRPr="00E607E4" w:rsidRDefault="00E607E4">
      <w:pPr>
        <w:jc w:val="center"/>
        <w:rPr>
          <w:rFonts w:ascii="Times New Roman" w:hAnsi="Times New Roman" w:cs="Times New Roman"/>
          <w:b/>
          <w:bCs/>
          <w:sz w:val="24"/>
          <w:szCs w:val="24"/>
          <w:lang w:val="de-AT"/>
        </w:rPr>
      </w:pPr>
    </w:p>
    <w:p w14:paraId="3FB22CB3" w14:textId="1F4D7753" w:rsidR="00C60B9D" w:rsidRPr="00E607E4" w:rsidRDefault="00000000">
      <w:pPr>
        <w:jc w:val="center"/>
        <w:rPr>
          <w:rFonts w:ascii="Times New Roman" w:hAnsi="Times New Roman" w:cs="Times New Roman"/>
          <w:i/>
          <w:iCs/>
          <w:sz w:val="24"/>
          <w:szCs w:val="24"/>
          <w:lang w:val="de-AT"/>
        </w:rPr>
      </w:pPr>
      <w:r w:rsidRPr="00E607E4">
        <w:rPr>
          <w:rFonts w:ascii="Times New Roman" w:hAnsi="Times New Roman" w:cs="Times New Roman"/>
          <w:i/>
          <w:iCs/>
          <w:sz w:val="24"/>
          <w:szCs w:val="24"/>
          <w:lang w:val="de-AT"/>
        </w:rPr>
        <w:t>Elfriede Jelinek: Wissenschaft – Kunst – Demokratie</w:t>
      </w:r>
    </w:p>
    <w:p w14:paraId="3D39205A" w14:textId="639F19CC" w:rsidR="00E607E4" w:rsidRPr="00E607E4" w:rsidRDefault="00E607E4" w:rsidP="00E607E4">
      <w:pPr>
        <w:spacing w:after="0"/>
        <w:jc w:val="center"/>
        <w:rPr>
          <w:rFonts w:ascii="Times New Roman" w:hAnsi="Times New Roman" w:cs="Times New Roman"/>
          <w:i/>
          <w:iCs/>
          <w:sz w:val="24"/>
          <w:szCs w:val="24"/>
          <w:lang w:val="de-AT"/>
        </w:rPr>
      </w:pPr>
      <w:r w:rsidRPr="00E607E4">
        <w:rPr>
          <w:rFonts w:ascii="Times New Roman" w:hAnsi="Times New Roman" w:cs="Times New Roman"/>
          <w:i/>
          <w:iCs/>
          <w:sz w:val="24"/>
          <w:szCs w:val="24"/>
          <w:lang w:val="de-AT"/>
        </w:rPr>
        <w:t>Universität Wien / Musik und Kunst Privatuniversität der Stadt Wien (Österreich)</w:t>
      </w:r>
    </w:p>
    <w:p w14:paraId="5110068A" w14:textId="77777777" w:rsidR="00E607E4" w:rsidRPr="00E607E4" w:rsidRDefault="00E607E4" w:rsidP="00E607E4">
      <w:pPr>
        <w:spacing w:after="0"/>
        <w:jc w:val="center"/>
        <w:rPr>
          <w:rFonts w:ascii="Times New Roman" w:hAnsi="Times New Roman" w:cs="Times New Roman"/>
          <w:i/>
          <w:iCs/>
          <w:sz w:val="24"/>
          <w:szCs w:val="24"/>
          <w:lang w:val="de-AT"/>
        </w:rPr>
      </w:pPr>
      <w:r w:rsidRPr="00E607E4">
        <w:rPr>
          <w:rFonts w:ascii="Times New Roman" w:hAnsi="Times New Roman" w:cs="Times New Roman"/>
          <w:i/>
          <w:iCs/>
          <w:sz w:val="24"/>
          <w:szCs w:val="24"/>
          <w:lang w:val="de-AT"/>
        </w:rPr>
        <w:t>Interdisziplinärer Workshop für Nachwuchswissenschaftler*innen und Nachwuchs-</w:t>
      </w:r>
    </w:p>
    <w:p w14:paraId="43521841" w14:textId="6ED7CD32" w:rsidR="00E607E4" w:rsidRDefault="00E607E4" w:rsidP="00E607E4">
      <w:pPr>
        <w:spacing w:after="0"/>
        <w:jc w:val="center"/>
        <w:rPr>
          <w:rFonts w:ascii="Times New Roman" w:hAnsi="Times New Roman" w:cs="Times New Roman"/>
          <w:sz w:val="24"/>
          <w:szCs w:val="24"/>
          <w:lang w:val="de-AT"/>
        </w:rPr>
      </w:pPr>
      <w:r w:rsidRPr="00E607E4">
        <w:rPr>
          <w:rFonts w:ascii="Times New Roman" w:hAnsi="Times New Roman" w:cs="Times New Roman"/>
          <w:i/>
          <w:iCs/>
          <w:sz w:val="24"/>
          <w:szCs w:val="24"/>
          <w:lang w:val="de-AT"/>
        </w:rPr>
        <w:t>künstler*innen</w:t>
      </w:r>
    </w:p>
    <w:p w14:paraId="6C105B27" w14:textId="77777777" w:rsidR="00E607E4" w:rsidRDefault="00E607E4" w:rsidP="00E607E4">
      <w:pPr>
        <w:spacing w:after="0"/>
        <w:jc w:val="center"/>
        <w:rPr>
          <w:rFonts w:ascii="Times New Roman" w:hAnsi="Times New Roman" w:cs="Times New Roman"/>
          <w:sz w:val="24"/>
          <w:szCs w:val="24"/>
          <w:lang w:val="de-AT"/>
        </w:rPr>
      </w:pPr>
    </w:p>
    <w:p w14:paraId="49967C7C" w14:textId="7E904D91" w:rsidR="00E607E4" w:rsidRDefault="00E607E4" w:rsidP="00E607E4">
      <w:pPr>
        <w:spacing w:after="0"/>
        <w:jc w:val="center"/>
        <w:rPr>
          <w:rFonts w:ascii="Times New Roman" w:hAnsi="Times New Roman" w:cs="Times New Roman"/>
          <w:sz w:val="24"/>
          <w:szCs w:val="24"/>
          <w:lang w:val="de-AT"/>
        </w:rPr>
      </w:pPr>
      <w:r>
        <w:rPr>
          <w:rFonts w:ascii="Times New Roman" w:hAnsi="Times New Roman" w:cs="Times New Roman"/>
          <w:sz w:val="24"/>
          <w:szCs w:val="24"/>
          <w:lang w:val="de-AT"/>
        </w:rPr>
        <w:t>2-4. November 2026, Wien</w:t>
      </w:r>
    </w:p>
    <w:p w14:paraId="31699337" w14:textId="77777777" w:rsidR="00C60B9D" w:rsidRDefault="00C60B9D">
      <w:pPr>
        <w:jc w:val="center"/>
        <w:rPr>
          <w:rFonts w:ascii="Times New Roman" w:hAnsi="Times New Roman" w:cs="Times New Roman"/>
          <w:sz w:val="24"/>
          <w:szCs w:val="24"/>
          <w:lang w:val="de-AT"/>
        </w:rPr>
      </w:pPr>
    </w:p>
    <w:p w14:paraId="799A7EC6" w14:textId="132860B2" w:rsidR="00C60B9D" w:rsidRDefault="00CD51C5" w:rsidP="007131A4">
      <w:pPr>
        <w:jc w:val="right"/>
        <w:rPr>
          <w:rFonts w:ascii="Times New Roman" w:hAnsi="Times New Roman" w:cs="Times New Roman"/>
          <w:sz w:val="20"/>
          <w:szCs w:val="20"/>
          <w:lang w:val="de-AT"/>
        </w:rPr>
      </w:pPr>
      <w:r>
        <w:rPr>
          <w:rFonts w:ascii="Times New Roman" w:hAnsi="Times New Roman" w:cs="Times New Roman"/>
          <w:sz w:val="20"/>
          <w:szCs w:val="20"/>
          <w:lang w:val="de-AT"/>
        </w:rPr>
        <w:t xml:space="preserve">Motto 1.: </w:t>
      </w:r>
      <w:r w:rsidRPr="007131A4">
        <w:rPr>
          <w:rFonts w:ascii="Times New Roman" w:hAnsi="Times New Roman" w:cs="Times New Roman"/>
          <w:sz w:val="20"/>
          <w:szCs w:val="20"/>
          <w:lang w:val="de-AT"/>
        </w:rPr>
        <w:t>„</w:t>
      </w:r>
      <w:r w:rsidRPr="007131A4">
        <w:rPr>
          <w:rFonts w:ascii="Times New Roman" w:hAnsi="Times New Roman" w:cs="Times New Roman"/>
          <w:i/>
          <w:iCs/>
          <w:sz w:val="20"/>
          <w:szCs w:val="20"/>
          <w:lang w:val="de-AT"/>
        </w:rPr>
        <w:t>Wir sind das größte Problem, das sie haben, wir sollen zur Hölle gehen, wir sollen nicht unbehelligt hier leben dürfen. Für uns kein Grund, hier zu bleiben, kein Grund, hier zu wohnen, und daher auch keine Grundrechte für uns.</w:t>
      </w:r>
      <w:r w:rsidR="009D5267" w:rsidRPr="007131A4">
        <w:rPr>
          <w:rFonts w:ascii="Times New Roman" w:hAnsi="Times New Roman" w:cs="Times New Roman"/>
          <w:i/>
          <w:iCs/>
          <w:sz w:val="20"/>
          <w:szCs w:val="20"/>
          <w:lang w:val="de-AT"/>
        </w:rPr>
        <w:t xml:space="preserve"> </w:t>
      </w:r>
      <w:r w:rsidRPr="007131A4">
        <w:rPr>
          <w:rFonts w:ascii="Times New Roman" w:hAnsi="Times New Roman" w:cs="Times New Roman"/>
          <w:i/>
          <w:iCs/>
          <w:sz w:val="20"/>
          <w:szCs w:val="20"/>
          <w:lang w:val="de-AT"/>
        </w:rPr>
        <w:t>Allerdings auch keine Grundbesitzabgaben. Kein Grund, kein Grundgesetz, keine Bürger – kein Bürgerrecht und keine Gleichheit, für niemanden, für uns schon gar nicht, wir verlieren die Rechte zuallererst, die Rechte will es so. Sie säumen nicht, da strenge Not sie zwingt oder was sie halt antreibt, uns auszutreiben</w:t>
      </w:r>
      <w:r w:rsidRPr="007131A4">
        <w:rPr>
          <w:rFonts w:ascii="Times New Roman" w:hAnsi="Times New Roman" w:cs="Times New Roman"/>
          <w:sz w:val="20"/>
          <w:szCs w:val="20"/>
          <w:lang w:val="de-AT"/>
        </w:rPr>
        <w:t>.“</w:t>
      </w:r>
      <w:r w:rsidRPr="007131A4">
        <w:rPr>
          <w:rStyle w:val="Funotenzeichen"/>
          <w:rFonts w:ascii="Times New Roman" w:hAnsi="Times New Roman" w:cs="Times New Roman"/>
          <w:sz w:val="20"/>
          <w:szCs w:val="20"/>
          <w:lang w:val="de-AT"/>
        </w:rPr>
        <w:footnoteReference w:id="5"/>
      </w:r>
    </w:p>
    <w:p w14:paraId="4CEDF753" w14:textId="77777777" w:rsidR="00CD51C5" w:rsidRDefault="00CD51C5" w:rsidP="007131A4">
      <w:pPr>
        <w:jc w:val="right"/>
        <w:rPr>
          <w:rFonts w:ascii="Times New Roman" w:hAnsi="Times New Roman" w:cs="Times New Roman"/>
          <w:sz w:val="20"/>
          <w:szCs w:val="20"/>
          <w:lang w:val="de-AT"/>
        </w:rPr>
      </w:pPr>
    </w:p>
    <w:p w14:paraId="2C6AEA42" w14:textId="7B3774A6" w:rsidR="00F9047F" w:rsidRPr="00F9047F" w:rsidRDefault="00CD51C5" w:rsidP="007131A4">
      <w:pPr>
        <w:jc w:val="right"/>
        <w:rPr>
          <w:rFonts w:ascii="Times New Roman" w:hAnsi="Times New Roman" w:cs="Times New Roman"/>
          <w:i/>
          <w:iCs/>
          <w:sz w:val="20"/>
          <w:szCs w:val="20"/>
        </w:rPr>
      </w:pPr>
      <w:r>
        <w:rPr>
          <w:rFonts w:ascii="Times New Roman" w:hAnsi="Times New Roman" w:cs="Times New Roman"/>
          <w:sz w:val="20"/>
          <w:szCs w:val="20"/>
        </w:rPr>
        <w:t xml:space="preserve">Motto 2.: </w:t>
      </w:r>
      <w:r w:rsidR="00F9047F">
        <w:rPr>
          <w:rFonts w:ascii="Times New Roman" w:hAnsi="Times New Roman" w:cs="Times New Roman"/>
          <w:i/>
          <w:iCs/>
          <w:sz w:val="20"/>
          <w:szCs w:val="20"/>
        </w:rPr>
        <w:t>“</w:t>
      </w:r>
      <w:r w:rsidR="00F9047F" w:rsidRPr="00F9047F">
        <w:rPr>
          <w:rFonts w:ascii="Times New Roman" w:hAnsi="Times New Roman" w:cs="Times New Roman"/>
          <w:i/>
          <w:iCs/>
          <w:sz w:val="20"/>
          <w:szCs w:val="20"/>
        </w:rPr>
        <w:t>Livin' in a city of immigrants</w:t>
      </w:r>
      <w:r w:rsidR="00F9047F" w:rsidRPr="00F9047F">
        <w:rPr>
          <w:rFonts w:ascii="Times New Roman" w:hAnsi="Times New Roman" w:cs="Times New Roman"/>
          <w:i/>
          <w:iCs/>
          <w:sz w:val="20"/>
          <w:szCs w:val="20"/>
        </w:rPr>
        <w:br/>
        <w:t>I don't need to go travelin'</w:t>
      </w:r>
      <w:r w:rsidR="00F9047F" w:rsidRPr="00F9047F">
        <w:rPr>
          <w:rFonts w:ascii="Times New Roman" w:hAnsi="Times New Roman" w:cs="Times New Roman"/>
          <w:i/>
          <w:iCs/>
          <w:sz w:val="20"/>
          <w:szCs w:val="20"/>
        </w:rPr>
        <w:br/>
        <w:t>Open my door and the world walks in</w:t>
      </w:r>
      <w:r w:rsidR="00F9047F" w:rsidRPr="00F9047F">
        <w:rPr>
          <w:rFonts w:ascii="Times New Roman" w:hAnsi="Times New Roman" w:cs="Times New Roman"/>
          <w:i/>
          <w:iCs/>
          <w:sz w:val="20"/>
          <w:szCs w:val="20"/>
        </w:rPr>
        <w:br/>
        <w:t>Livin' in a city of immigrants</w:t>
      </w:r>
      <w:r w:rsidR="00F9047F" w:rsidRPr="00F9047F">
        <w:rPr>
          <w:rFonts w:ascii="Times New Roman" w:hAnsi="Times New Roman" w:cs="Times New Roman"/>
          <w:i/>
          <w:iCs/>
          <w:sz w:val="20"/>
          <w:szCs w:val="20"/>
        </w:rPr>
        <w:br/>
        <w:t>Livin' in a city that never sleeps</w:t>
      </w:r>
      <w:r w:rsidR="00F9047F" w:rsidRPr="00F9047F">
        <w:rPr>
          <w:rFonts w:ascii="Times New Roman" w:hAnsi="Times New Roman" w:cs="Times New Roman"/>
          <w:i/>
          <w:iCs/>
          <w:sz w:val="20"/>
          <w:szCs w:val="20"/>
        </w:rPr>
        <w:br/>
        <w:t>My heart keepin' time to a thousand beats</w:t>
      </w:r>
      <w:r w:rsidR="00F9047F" w:rsidRPr="00F9047F">
        <w:rPr>
          <w:rFonts w:ascii="Times New Roman" w:hAnsi="Times New Roman" w:cs="Times New Roman"/>
          <w:i/>
          <w:iCs/>
          <w:sz w:val="20"/>
          <w:szCs w:val="20"/>
        </w:rPr>
        <w:br/>
        <w:t>Singin' in languages I don't speak</w:t>
      </w:r>
      <w:r w:rsidR="00F9047F" w:rsidRPr="00F9047F">
        <w:rPr>
          <w:rFonts w:ascii="Times New Roman" w:hAnsi="Times New Roman" w:cs="Times New Roman"/>
          <w:i/>
          <w:iCs/>
          <w:sz w:val="20"/>
          <w:szCs w:val="20"/>
        </w:rPr>
        <w:br/>
        <w:t>Livin' in a city of immigrants</w:t>
      </w:r>
      <w:r w:rsidR="00F9047F">
        <w:rPr>
          <w:rFonts w:ascii="Times New Roman" w:hAnsi="Times New Roman" w:cs="Times New Roman"/>
          <w:i/>
          <w:iCs/>
          <w:sz w:val="20"/>
          <w:szCs w:val="20"/>
        </w:rPr>
        <w:t>.”</w:t>
      </w:r>
      <w:r w:rsidR="00F9047F">
        <w:rPr>
          <w:rStyle w:val="Funotenzeichen"/>
          <w:rFonts w:ascii="Times New Roman" w:hAnsi="Times New Roman" w:cs="Times New Roman"/>
          <w:i/>
          <w:iCs/>
          <w:sz w:val="20"/>
          <w:szCs w:val="20"/>
        </w:rPr>
        <w:footnoteReference w:id="6"/>
      </w:r>
    </w:p>
    <w:p w14:paraId="5D5EC841" w14:textId="77777777" w:rsidR="007131A4" w:rsidRPr="00F9047F" w:rsidRDefault="007131A4" w:rsidP="00997654">
      <w:pPr>
        <w:jc w:val="both"/>
        <w:rPr>
          <w:rFonts w:ascii="Times New Roman" w:hAnsi="Times New Roman" w:cs="Times New Roman"/>
          <w:sz w:val="24"/>
          <w:szCs w:val="24"/>
        </w:rPr>
      </w:pPr>
    </w:p>
    <w:p w14:paraId="2AB31685" w14:textId="785B0BC3" w:rsidR="00DC0DF1" w:rsidRPr="00DC0DF1" w:rsidRDefault="00DC0DF1" w:rsidP="00997654">
      <w:pPr>
        <w:jc w:val="both"/>
        <w:rPr>
          <w:rFonts w:ascii="Times New Roman" w:hAnsi="Times New Roman" w:cs="Times New Roman"/>
          <w:b/>
          <w:bCs/>
          <w:sz w:val="24"/>
          <w:szCs w:val="24"/>
          <w:lang w:val="de-AT"/>
        </w:rPr>
      </w:pPr>
      <w:r w:rsidRPr="00DC0DF1">
        <w:rPr>
          <w:rFonts w:ascii="Times New Roman" w:hAnsi="Times New Roman" w:cs="Times New Roman"/>
          <w:b/>
          <w:bCs/>
          <w:sz w:val="24"/>
          <w:szCs w:val="24"/>
          <w:lang w:val="de-AT"/>
        </w:rPr>
        <w:t>Einführung</w:t>
      </w:r>
    </w:p>
    <w:p w14:paraId="4B9DE3E5" w14:textId="16496B5F" w:rsidR="007131A4" w:rsidRPr="00FE4E7D" w:rsidRDefault="007131A4" w:rsidP="00997654">
      <w:pPr>
        <w:jc w:val="both"/>
        <w:rPr>
          <w:rFonts w:ascii="Times New Roman" w:hAnsi="Times New Roman" w:cs="Times New Roman"/>
          <w:sz w:val="24"/>
          <w:szCs w:val="24"/>
          <w:lang w:val="hu-HU"/>
        </w:rPr>
      </w:pPr>
      <w:r>
        <w:rPr>
          <w:rFonts w:ascii="Times New Roman" w:hAnsi="Times New Roman" w:cs="Times New Roman"/>
          <w:sz w:val="24"/>
          <w:szCs w:val="24"/>
          <w:lang w:val="de-AT"/>
        </w:rPr>
        <w:t>Die Europäische Kommission hat im Jahr 2024 den Pakt zu Migration und Asyl verabschiedet, um die Migration auf würdige und nachhaltige Weise zu steuern.</w:t>
      </w:r>
      <w:r w:rsidR="00C60EDC">
        <w:rPr>
          <w:rFonts w:ascii="Times New Roman" w:hAnsi="Times New Roman" w:cs="Times New Roman"/>
          <w:sz w:val="24"/>
          <w:szCs w:val="24"/>
          <w:lang w:val="de-AT"/>
        </w:rPr>
        <w:t xml:space="preserve"> D</w:t>
      </w:r>
      <w:r w:rsidR="00C60EDC" w:rsidRPr="00C60EDC">
        <w:rPr>
          <w:rFonts w:ascii="Times New Roman" w:hAnsi="Times New Roman" w:cs="Times New Roman"/>
          <w:sz w:val="24"/>
          <w:szCs w:val="24"/>
          <w:lang w:val="de-AT"/>
        </w:rPr>
        <w:t>ie tiefgreifendste Änderung der europäischen Flüchtlingspolitik seit Jahrzehnten</w:t>
      </w:r>
      <w:r w:rsidR="00C60EDC">
        <w:rPr>
          <w:rFonts w:ascii="Times New Roman" w:hAnsi="Times New Roman" w:cs="Times New Roman"/>
          <w:sz w:val="24"/>
          <w:szCs w:val="24"/>
          <w:lang w:val="de-AT"/>
        </w:rPr>
        <w:t xml:space="preserve"> trat am 12 Juni 2026</w:t>
      </w:r>
      <w:r w:rsidR="00C60EDC" w:rsidRPr="00C60EDC">
        <w:rPr>
          <w:rFonts w:ascii="Times New Roman" w:hAnsi="Times New Roman" w:cs="Times New Roman"/>
          <w:sz w:val="24"/>
          <w:szCs w:val="24"/>
          <w:lang w:val="de-AT"/>
        </w:rPr>
        <w:t xml:space="preserve"> im Zuge der Reform des Gemeinsamen Europäischen Asylsystems (GEAS) neue Regeln in Kraft.</w:t>
      </w:r>
      <w:r w:rsidR="00FE4E7D">
        <w:rPr>
          <w:rFonts w:ascii="Times New Roman" w:hAnsi="Times New Roman" w:cs="Times New Roman"/>
          <w:sz w:val="24"/>
          <w:szCs w:val="24"/>
          <w:lang w:val="de-AT"/>
        </w:rPr>
        <w:t xml:space="preserve"> </w:t>
      </w:r>
      <w:r w:rsidR="005848B0">
        <w:rPr>
          <w:rFonts w:ascii="Times New Roman" w:hAnsi="Times New Roman" w:cs="Times New Roman"/>
          <w:sz w:val="24"/>
          <w:szCs w:val="24"/>
          <w:lang w:val="de-AT"/>
        </w:rPr>
        <w:t>Allerdings m</w:t>
      </w:r>
      <w:r w:rsidR="00FE4E7D" w:rsidRPr="00FE4E7D">
        <w:rPr>
          <w:rFonts w:ascii="Times New Roman" w:hAnsi="Times New Roman" w:cs="Times New Roman"/>
          <w:sz w:val="24"/>
          <w:szCs w:val="24"/>
          <w:lang w:val="de-AT"/>
        </w:rPr>
        <w:t xml:space="preserve">ehrere EU-Mitgliedstaaten sind </w:t>
      </w:r>
      <w:r w:rsidR="005848B0">
        <w:rPr>
          <w:rFonts w:ascii="Times New Roman" w:hAnsi="Times New Roman" w:cs="Times New Roman"/>
          <w:sz w:val="24"/>
          <w:szCs w:val="24"/>
          <w:lang w:val="de-AT"/>
        </w:rPr>
        <w:t xml:space="preserve">zum Stichtag </w:t>
      </w:r>
      <w:r w:rsidR="00FE4E7D" w:rsidRPr="00FE4E7D">
        <w:rPr>
          <w:rFonts w:ascii="Times New Roman" w:hAnsi="Times New Roman" w:cs="Times New Roman"/>
          <w:sz w:val="24"/>
          <w:szCs w:val="24"/>
          <w:lang w:val="de-AT"/>
        </w:rPr>
        <w:t>noch nicht auf das neue System vorbereitet.</w:t>
      </w:r>
    </w:p>
    <w:p w14:paraId="4004C024" w14:textId="7D821412" w:rsidR="00585EB6" w:rsidRPr="006B0E7F" w:rsidRDefault="00585EB6" w:rsidP="00997654">
      <w:pPr>
        <w:jc w:val="both"/>
        <w:rPr>
          <w:rFonts w:ascii="Times New Roman" w:hAnsi="Times New Roman" w:cs="Times New Roman"/>
          <w:sz w:val="24"/>
          <w:szCs w:val="24"/>
          <w:lang w:val="de-AT"/>
        </w:rPr>
      </w:pPr>
      <w:r>
        <w:rPr>
          <w:rFonts w:ascii="Times New Roman" w:hAnsi="Times New Roman" w:cs="Times New Roman"/>
          <w:sz w:val="24"/>
          <w:szCs w:val="24"/>
          <w:lang w:val="de-AT"/>
        </w:rPr>
        <w:lastRenderedPageBreak/>
        <w:t xml:space="preserve">Während die Migrations- und Asylpolitik, insbesondere das Management von Landesgrenzen, das Wirtschaftswachstum und die Einhaltung des Völkerrechts und der </w:t>
      </w:r>
      <w:r w:rsidRPr="00997654">
        <w:rPr>
          <w:rFonts w:ascii="Times New Roman" w:hAnsi="Times New Roman" w:cs="Times New Roman"/>
          <w:sz w:val="24"/>
          <w:szCs w:val="24"/>
          <w:lang w:val="de-AT"/>
        </w:rPr>
        <w:t>Menschenrechte,</w:t>
      </w:r>
      <w:r>
        <w:rPr>
          <w:lang w:val="de-AT"/>
        </w:rPr>
        <w:t xml:space="preserve"> </w:t>
      </w:r>
      <w:r w:rsidRPr="00997654">
        <w:rPr>
          <w:rFonts w:ascii="Times New Roman" w:hAnsi="Times New Roman" w:cs="Times New Roman"/>
          <w:sz w:val="24"/>
          <w:szCs w:val="24"/>
          <w:lang w:val="de-AT"/>
        </w:rPr>
        <w:t>ist v</w:t>
      </w:r>
      <w:r>
        <w:rPr>
          <w:rFonts w:ascii="Times New Roman" w:hAnsi="Times New Roman" w:cs="Times New Roman"/>
          <w:sz w:val="24"/>
          <w:szCs w:val="24"/>
          <w:lang w:val="de-AT"/>
        </w:rPr>
        <w:t>on zentraler Bedeutung für die innere Sicherheit der EU.</w:t>
      </w:r>
      <w:r w:rsidR="005848B0">
        <w:rPr>
          <w:rFonts w:ascii="Times New Roman" w:hAnsi="Times New Roman" w:cs="Times New Roman"/>
          <w:sz w:val="24"/>
          <w:szCs w:val="24"/>
          <w:lang w:val="de-AT"/>
        </w:rPr>
        <w:t xml:space="preserve"> </w:t>
      </w:r>
      <w:r w:rsidR="005848B0" w:rsidRPr="005848B0">
        <w:rPr>
          <w:rFonts w:ascii="Times New Roman" w:hAnsi="Times New Roman" w:cs="Times New Roman"/>
          <w:sz w:val="24"/>
          <w:szCs w:val="24"/>
          <w:lang w:val="de-AT"/>
        </w:rPr>
        <w:t xml:space="preserve">Die Umsetzung des Pakts wird eine große Herausforderung </w:t>
      </w:r>
      <w:r w:rsidR="006B0E7F">
        <w:rPr>
          <w:rFonts w:ascii="Times New Roman" w:hAnsi="Times New Roman" w:cs="Times New Roman"/>
          <w:sz w:val="24"/>
          <w:szCs w:val="24"/>
          <w:lang w:val="de-AT"/>
        </w:rPr>
        <w:t xml:space="preserve">wegen der </w:t>
      </w:r>
      <w:r>
        <w:rPr>
          <w:rFonts w:ascii="Times New Roman" w:hAnsi="Times New Roman" w:cs="Times New Roman"/>
          <w:sz w:val="24"/>
          <w:szCs w:val="24"/>
          <w:lang w:val="de-AT"/>
        </w:rPr>
        <w:t>Anti-Migrations-Rhetorik und de</w:t>
      </w:r>
      <w:r w:rsidR="006B0E7F">
        <w:rPr>
          <w:rFonts w:ascii="Times New Roman" w:hAnsi="Times New Roman" w:cs="Times New Roman"/>
          <w:sz w:val="24"/>
          <w:szCs w:val="24"/>
          <w:lang w:val="de-AT"/>
        </w:rPr>
        <w:t>m</w:t>
      </w:r>
      <w:r>
        <w:rPr>
          <w:rFonts w:ascii="Times New Roman" w:hAnsi="Times New Roman" w:cs="Times New Roman"/>
          <w:sz w:val="24"/>
          <w:szCs w:val="24"/>
          <w:lang w:val="de-AT"/>
        </w:rPr>
        <w:t xml:space="preserve"> Vormarsch des populistischen Nationalismus in Europa</w:t>
      </w:r>
      <w:r w:rsidR="005848B0">
        <w:rPr>
          <w:rFonts w:ascii="Times New Roman" w:hAnsi="Times New Roman" w:cs="Times New Roman"/>
          <w:sz w:val="24"/>
          <w:szCs w:val="24"/>
          <w:lang w:val="de-AT"/>
        </w:rPr>
        <w:t>.</w:t>
      </w:r>
      <w:r w:rsidR="006B0E7F">
        <w:rPr>
          <w:rFonts w:ascii="Times New Roman" w:hAnsi="Times New Roman" w:cs="Times New Roman"/>
          <w:sz w:val="24"/>
          <w:szCs w:val="24"/>
          <w:lang w:val="de-AT"/>
        </w:rPr>
        <w:t xml:space="preserve"> </w:t>
      </w:r>
      <w:r w:rsidR="006B0E7F" w:rsidRPr="006B0E7F">
        <w:rPr>
          <w:rFonts w:ascii="Times New Roman" w:hAnsi="Times New Roman" w:cs="Times New Roman"/>
          <w:sz w:val="24"/>
          <w:szCs w:val="24"/>
          <w:lang w:val="de-AT"/>
        </w:rPr>
        <w:t>Die Umsetzung des Pakts fällt in eine migrationspolitisch explosive Zeit. In Österreich und Deutschland propagieren FPÖ und AfD ungeniert „Remigration“: die systematische Deportation von Einwanderern, auch wenn sie bereits eingebürgert sind.</w:t>
      </w:r>
      <w:r w:rsidR="006B0E7F">
        <w:rPr>
          <w:rStyle w:val="Funotenzeichen"/>
          <w:rFonts w:ascii="Times New Roman" w:hAnsi="Times New Roman" w:cs="Times New Roman"/>
          <w:sz w:val="24"/>
          <w:szCs w:val="24"/>
          <w:lang w:val="de-AT"/>
        </w:rPr>
        <w:footnoteReference w:id="7"/>
      </w:r>
    </w:p>
    <w:p w14:paraId="52752661" w14:textId="77777777" w:rsidR="00D04DF6" w:rsidRDefault="00A52612" w:rsidP="007131A4">
      <w:pPr>
        <w:jc w:val="both"/>
        <w:rPr>
          <w:rFonts w:ascii="Times New Roman" w:hAnsi="Times New Roman" w:cs="Times New Roman"/>
          <w:sz w:val="24"/>
          <w:szCs w:val="24"/>
          <w:lang w:val="de-AT"/>
        </w:rPr>
      </w:pPr>
      <w:r w:rsidRPr="00A52612">
        <w:rPr>
          <w:rFonts w:ascii="Times New Roman" w:hAnsi="Times New Roman" w:cs="Times New Roman"/>
          <w:sz w:val="24"/>
          <w:szCs w:val="24"/>
          <w:lang w:val="de-AT"/>
        </w:rPr>
        <w:t>In diesem Zusammenhang ist es wichtig zu beachten, dass</w:t>
      </w:r>
      <w:r>
        <w:rPr>
          <w:rFonts w:ascii="Times New Roman" w:hAnsi="Times New Roman" w:cs="Times New Roman"/>
          <w:sz w:val="24"/>
          <w:szCs w:val="24"/>
          <w:lang w:val="de-AT"/>
        </w:rPr>
        <w:t xml:space="preserve"> Elfriede Jelinek ihren schon zwischen 2013 und 2015 verfassten Text „</w:t>
      </w:r>
      <w:r>
        <w:rPr>
          <w:rFonts w:ascii="Times New Roman" w:hAnsi="Times New Roman" w:cs="Times New Roman"/>
          <w:i/>
          <w:iCs/>
          <w:sz w:val="24"/>
          <w:szCs w:val="24"/>
          <w:lang w:val="de-AT"/>
        </w:rPr>
        <w:t>Die Schutzbefohlenen</w:t>
      </w:r>
      <w:r>
        <w:rPr>
          <w:rFonts w:ascii="Times New Roman" w:hAnsi="Times New Roman" w:cs="Times New Roman"/>
          <w:sz w:val="24"/>
          <w:szCs w:val="24"/>
          <w:lang w:val="de-AT"/>
        </w:rPr>
        <w:t>“ n</w:t>
      </w:r>
      <w:r w:rsidR="00762002" w:rsidRPr="00762002">
        <w:rPr>
          <w:rFonts w:ascii="Times New Roman" w:hAnsi="Times New Roman" w:cs="Times New Roman"/>
          <w:sz w:val="24"/>
          <w:szCs w:val="24"/>
          <w:lang w:val="de-AT"/>
        </w:rPr>
        <w:t xml:space="preserve">ach dem Erscheinen der Correctiv-Recherchen über geheime Pläne reicher Unternehmer, von AfD-Politikern und der identitären Bewegung zur millionenfachen Vertreibung von Menschen aus Europa </w:t>
      </w:r>
      <w:r>
        <w:rPr>
          <w:rFonts w:ascii="Times New Roman" w:hAnsi="Times New Roman" w:cs="Times New Roman"/>
          <w:sz w:val="24"/>
          <w:szCs w:val="24"/>
          <w:lang w:val="de-AT"/>
        </w:rPr>
        <w:t>auch im 2024</w:t>
      </w:r>
      <w:r w:rsidR="007131A4">
        <w:rPr>
          <w:rFonts w:ascii="Times New Roman" w:hAnsi="Times New Roman" w:cs="Times New Roman"/>
          <w:sz w:val="24"/>
          <w:szCs w:val="24"/>
          <w:lang w:val="de-AT"/>
        </w:rPr>
        <w:t xml:space="preserve"> überarbeitete.</w:t>
      </w:r>
      <w:r w:rsidR="00762002">
        <w:rPr>
          <w:rStyle w:val="Funotenzeichen"/>
          <w:rFonts w:ascii="Times New Roman" w:hAnsi="Times New Roman" w:cs="Times New Roman"/>
          <w:sz w:val="24"/>
          <w:szCs w:val="24"/>
          <w:lang w:val="de-AT"/>
        </w:rPr>
        <w:footnoteReference w:id="8"/>
      </w:r>
    </w:p>
    <w:p w14:paraId="2FAB8E70" w14:textId="77777777" w:rsidR="001E33C6" w:rsidRDefault="00000000">
      <w:pPr>
        <w:jc w:val="both"/>
        <w:rPr>
          <w:rFonts w:ascii="Times New Roman" w:hAnsi="Times New Roman" w:cs="Times New Roman"/>
          <w:sz w:val="24"/>
          <w:szCs w:val="24"/>
          <w:lang w:val="de-AT"/>
        </w:rPr>
      </w:pPr>
      <w:r>
        <w:rPr>
          <w:rFonts w:ascii="Times New Roman" w:hAnsi="Times New Roman" w:cs="Times New Roman"/>
          <w:sz w:val="24"/>
          <w:szCs w:val="24"/>
          <w:lang w:val="de-AT"/>
        </w:rPr>
        <w:t>Elfriede Jelineks dramatisch kraftvolle Zeilen aus „</w:t>
      </w:r>
      <w:r w:rsidR="00997654">
        <w:rPr>
          <w:rFonts w:ascii="Times New Roman" w:hAnsi="Times New Roman" w:cs="Times New Roman"/>
          <w:i/>
          <w:iCs/>
          <w:sz w:val="24"/>
          <w:szCs w:val="24"/>
          <w:lang w:val="de-AT"/>
        </w:rPr>
        <w:t xml:space="preserve">Die </w:t>
      </w:r>
      <w:r>
        <w:rPr>
          <w:rFonts w:ascii="Times New Roman" w:hAnsi="Times New Roman" w:cs="Times New Roman"/>
          <w:i/>
          <w:iCs/>
          <w:sz w:val="24"/>
          <w:szCs w:val="24"/>
          <w:lang w:val="de-AT"/>
        </w:rPr>
        <w:t>Schutzbefohlenen</w:t>
      </w:r>
      <w:r w:rsidR="00D37307">
        <w:rPr>
          <w:rFonts w:ascii="Times New Roman" w:hAnsi="Times New Roman" w:cs="Times New Roman"/>
          <w:i/>
          <w:iCs/>
          <w:sz w:val="24"/>
          <w:szCs w:val="24"/>
          <w:lang w:val="de-AT"/>
        </w:rPr>
        <w:t xml:space="preserve"> - </w:t>
      </w:r>
      <w:r w:rsidR="00D37307" w:rsidRPr="00D37307">
        <w:rPr>
          <w:rFonts w:ascii="Times New Roman" w:hAnsi="Times New Roman" w:cs="Times New Roman"/>
          <w:i/>
          <w:iCs/>
          <w:sz w:val="24"/>
          <w:szCs w:val="24"/>
          <w:lang w:val="de-AT"/>
        </w:rPr>
        <w:t>Was danach geschah</w:t>
      </w:r>
      <w:r>
        <w:rPr>
          <w:rFonts w:ascii="Times New Roman" w:hAnsi="Times New Roman" w:cs="Times New Roman"/>
          <w:sz w:val="24"/>
          <w:szCs w:val="24"/>
          <w:lang w:val="de-AT"/>
        </w:rPr>
        <w:t xml:space="preserve">” </w:t>
      </w:r>
      <w:r w:rsidR="001E33C6">
        <w:rPr>
          <w:rFonts w:ascii="Times New Roman" w:hAnsi="Times New Roman" w:cs="Times New Roman"/>
          <w:sz w:val="24"/>
          <w:szCs w:val="24"/>
          <w:lang w:val="de-AT"/>
        </w:rPr>
        <w:t xml:space="preserve">im Motto 1. </w:t>
      </w:r>
      <w:r>
        <w:rPr>
          <w:rFonts w:ascii="Times New Roman" w:hAnsi="Times New Roman" w:cs="Times New Roman"/>
          <w:sz w:val="24"/>
          <w:szCs w:val="24"/>
          <w:lang w:val="de-AT"/>
        </w:rPr>
        <w:t>haben mich dazu inspiriert, ihr Werk aus einer interdisziplinären Perspektive zwischen Recht und Literatur zu untersuchen</w:t>
      </w:r>
      <w:r w:rsidR="00BE33C8">
        <w:rPr>
          <w:rFonts w:ascii="Times New Roman" w:hAnsi="Times New Roman" w:cs="Times New Roman"/>
          <w:sz w:val="24"/>
          <w:szCs w:val="24"/>
          <w:lang w:val="de-AT"/>
        </w:rPr>
        <w:t xml:space="preserve">, </w:t>
      </w:r>
      <w:r>
        <w:rPr>
          <w:rFonts w:ascii="Times New Roman" w:hAnsi="Times New Roman" w:cs="Times New Roman"/>
          <w:sz w:val="24"/>
          <w:szCs w:val="24"/>
          <w:lang w:val="de-AT"/>
        </w:rPr>
        <w:t xml:space="preserve">in den Fokus </w:t>
      </w:r>
      <w:r w:rsidR="00BE33C8">
        <w:rPr>
          <w:rFonts w:ascii="Times New Roman" w:hAnsi="Times New Roman" w:cs="Times New Roman"/>
          <w:sz w:val="24"/>
          <w:szCs w:val="24"/>
          <w:lang w:val="de-AT"/>
        </w:rPr>
        <w:t xml:space="preserve">zu </w:t>
      </w:r>
      <w:r>
        <w:rPr>
          <w:rFonts w:ascii="Times New Roman" w:hAnsi="Times New Roman" w:cs="Times New Roman"/>
          <w:sz w:val="24"/>
          <w:szCs w:val="24"/>
          <w:lang w:val="de-AT"/>
        </w:rPr>
        <w:t>rücken</w:t>
      </w:r>
      <w:r w:rsidR="00E607E4">
        <w:rPr>
          <w:rFonts w:ascii="Times New Roman" w:hAnsi="Times New Roman" w:cs="Times New Roman"/>
          <w:sz w:val="24"/>
          <w:szCs w:val="24"/>
          <w:lang w:val="de-AT"/>
        </w:rPr>
        <w:t xml:space="preserve"> und </w:t>
      </w:r>
      <w:r w:rsidR="00BE33C8">
        <w:rPr>
          <w:rFonts w:ascii="Times New Roman" w:hAnsi="Times New Roman" w:cs="Times New Roman"/>
          <w:sz w:val="24"/>
          <w:szCs w:val="24"/>
          <w:lang w:val="de-AT"/>
        </w:rPr>
        <w:t xml:space="preserve">zu </w:t>
      </w:r>
      <w:r w:rsidR="00E607E4">
        <w:rPr>
          <w:rFonts w:ascii="Times New Roman" w:hAnsi="Times New Roman" w:cs="Times New Roman"/>
          <w:sz w:val="24"/>
          <w:szCs w:val="24"/>
          <w:lang w:val="de-AT"/>
        </w:rPr>
        <w:t>pr</w:t>
      </w:r>
      <w:r w:rsidR="00B72BE8">
        <w:rPr>
          <w:rFonts w:ascii="Times New Roman" w:hAnsi="Times New Roman" w:cs="Times New Roman"/>
          <w:sz w:val="24"/>
          <w:szCs w:val="24"/>
          <w:lang w:val="de-AT"/>
        </w:rPr>
        <w:t>äs</w:t>
      </w:r>
      <w:r w:rsidR="00E607E4">
        <w:rPr>
          <w:rFonts w:ascii="Times New Roman" w:hAnsi="Times New Roman" w:cs="Times New Roman"/>
          <w:sz w:val="24"/>
          <w:szCs w:val="24"/>
          <w:lang w:val="de-AT"/>
        </w:rPr>
        <w:t>entieren</w:t>
      </w:r>
      <w:r>
        <w:rPr>
          <w:rFonts w:ascii="Times New Roman" w:hAnsi="Times New Roman" w:cs="Times New Roman"/>
          <w:sz w:val="24"/>
          <w:szCs w:val="24"/>
          <w:lang w:val="de-AT"/>
        </w:rPr>
        <w:t>.</w:t>
      </w:r>
    </w:p>
    <w:p w14:paraId="6DB076BA" w14:textId="77777777" w:rsidR="00393036" w:rsidRDefault="00393036" w:rsidP="00393036">
      <w:pPr>
        <w:spacing w:after="0"/>
        <w:jc w:val="both"/>
        <w:rPr>
          <w:rFonts w:ascii="Times New Roman" w:hAnsi="Times New Roman" w:cs="Times New Roman"/>
          <w:sz w:val="24"/>
          <w:szCs w:val="24"/>
          <w:lang w:val="de-AT"/>
        </w:rPr>
      </w:pPr>
    </w:p>
    <w:p w14:paraId="4E9D2B9D" w14:textId="7A1B7636" w:rsidR="001E33C6" w:rsidRPr="001E33C6" w:rsidRDefault="001E33C6">
      <w:pPr>
        <w:jc w:val="both"/>
        <w:rPr>
          <w:rFonts w:ascii="Times New Roman" w:hAnsi="Times New Roman" w:cs="Times New Roman"/>
          <w:b/>
          <w:bCs/>
          <w:sz w:val="24"/>
          <w:szCs w:val="24"/>
          <w:lang w:val="de-AT"/>
        </w:rPr>
      </w:pPr>
      <w:r w:rsidRPr="001E33C6">
        <w:rPr>
          <w:rFonts w:ascii="Times New Roman" w:hAnsi="Times New Roman" w:cs="Times New Roman"/>
          <w:b/>
          <w:bCs/>
          <w:sz w:val="24"/>
          <w:szCs w:val="24"/>
          <w:lang w:val="de-AT"/>
        </w:rPr>
        <w:t>Die „Recht und Literatur“ Forschungen</w:t>
      </w:r>
      <w:r w:rsidR="001E2C01">
        <w:rPr>
          <w:rStyle w:val="Funotenzeichen"/>
          <w:rFonts w:ascii="Times New Roman" w:hAnsi="Times New Roman" w:cs="Times New Roman"/>
          <w:b/>
          <w:bCs/>
          <w:sz w:val="24"/>
          <w:szCs w:val="24"/>
          <w:lang w:val="de-AT"/>
        </w:rPr>
        <w:footnoteReference w:id="9"/>
      </w:r>
    </w:p>
    <w:p w14:paraId="59B55C60" w14:textId="5ED5E41E" w:rsidR="00C60B9D" w:rsidRDefault="00000000">
      <w:pPr>
        <w:jc w:val="both"/>
        <w:rPr>
          <w:rFonts w:ascii="Times New Roman" w:hAnsi="Times New Roman" w:cs="Times New Roman"/>
          <w:sz w:val="24"/>
          <w:szCs w:val="24"/>
          <w:lang w:val="de-AT"/>
        </w:rPr>
      </w:pPr>
      <w:r>
        <w:rPr>
          <w:rFonts w:ascii="Times New Roman" w:hAnsi="Times New Roman" w:cs="Times New Roman"/>
          <w:sz w:val="24"/>
          <w:szCs w:val="24"/>
          <w:lang w:val="de-AT"/>
        </w:rPr>
        <w:t>Die Forschungen zum Thema „Recht und Literatur“ sind Teil sogenannter interdisziplinärer Ansätze, die – im Vergleich zum spezifischen Begriffsapparat und den Analyseverfahren der „autonomen Rechtswissenschaft“ – versuchen,</w:t>
      </w:r>
      <w:r w:rsidR="009D5267">
        <w:rPr>
          <w:rFonts w:ascii="Times New Roman" w:hAnsi="Times New Roman" w:cs="Times New Roman"/>
          <w:sz w:val="24"/>
          <w:szCs w:val="24"/>
          <w:lang w:val="de-AT"/>
        </w:rPr>
        <w:t xml:space="preserve"> solche</w:t>
      </w:r>
      <w:r>
        <w:rPr>
          <w:rFonts w:ascii="Times New Roman" w:hAnsi="Times New Roman" w:cs="Times New Roman"/>
          <w:sz w:val="24"/>
          <w:szCs w:val="24"/>
          <w:lang w:val="de-AT"/>
        </w:rPr>
        <w:t xml:space="preserve"> Begriffe, Inhalte, Methoden und Erkenntnisse</w:t>
      </w:r>
      <w:r w:rsidR="009D5267">
        <w:rPr>
          <w:rFonts w:ascii="Times New Roman" w:hAnsi="Times New Roman" w:cs="Times New Roman"/>
          <w:sz w:val="24"/>
          <w:szCs w:val="24"/>
          <w:lang w:val="de-AT"/>
        </w:rPr>
        <w:t xml:space="preserve"> von Wissenschaftsbereichen </w:t>
      </w:r>
      <w:r>
        <w:rPr>
          <w:rFonts w:ascii="Times New Roman" w:hAnsi="Times New Roman" w:cs="Times New Roman"/>
          <w:sz w:val="24"/>
          <w:szCs w:val="24"/>
          <w:lang w:val="de-AT"/>
        </w:rPr>
        <w:t>und Wissensformen</w:t>
      </w:r>
      <w:r w:rsidR="009D5267">
        <w:rPr>
          <w:rFonts w:ascii="Times New Roman" w:hAnsi="Times New Roman" w:cs="Times New Roman"/>
          <w:sz w:val="24"/>
          <w:szCs w:val="24"/>
          <w:lang w:val="de-AT"/>
        </w:rPr>
        <w:t xml:space="preserve"> heranzuziehen,</w:t>
      </w:r>
      <w:r>
        <w:rPr>
          <w:rFonts w:ascii="Times New Roman" w:hAnsi="Times New Roman" w:cs="Times New Roman"/>
          <w:sz w:val="24"/>
          <w:szCs w:val="24"/>
          <w:lang w:val="de-AT"/>
        </w:rPr>
        <w:t xml:space="preserve"> die in Bezug auf jeden einzelnen dieser Bereiche selbst sehr vielfältig sind.</w:t>
      </w:r>
      <w:r>
        <w:rPr>
          <w:rStyle w:val="Funotenzeichen"/>
          <w:rFonts w:ascii="Times New Roman" w:hAnsi="Times New Roman" w:cs="Times New Roman"/>
          <w:sz w:val="24"/>
          <w:szCs w:val="24"/>
          <w:lang w:val="de-AT"/>
        </w:rPr>
        <w:footnoteReference w:id="10"/>
      </w:r>
    </w:p>
    <w:p w14:paraId="693309FB" w14:textId="4BD18309" w:rsidR="00D37307" w:rsidRDefault="001E33C6" w:rsidP="001C45CD">
      <w:pPr>
        <w:jc w:val="both"/>
        <w:rPr>
          <w:rFonts w:ascii="Times New Roman" w:hAnsi="Times New Roman" w:cs="Times New Roman"/>
          <w:sz w:val="24"/>
          <w:szCs w:val="24"/>
          <w:lang w:val="de-AT"/>
        </w:rPr>
      </w:pPr>
      <w:r w:rsidRPr="001E33C6">
        <w:rPr>
          <w:rFonts w:ascii="Times New Roman" w:hAnsi="Times New Roman" w:cs="Times New Roman"/>
          <w:sz w:val="24"/>
          <w:szCs w:val="24"/>
          <w:lang w:val="de-AT"/>
        </w:rPr>
        <w:t xml:space="preserve">Die Bewegung „Recht und Literatur“ entwickelte sich in den Vereinigten Staaten ab den 1960er Jahren und wird von vielen – angesichts ihrer kritischen Herangehensweise und ihrer praktischen Ziele – als ein Zweig der </w:t>
      </w:r>
      <w:r w:rsidRPr="00E26D66">
        <w:rPr>
          <w:rFonts w:ascii="Times New Roman" w:hAnsi="Times New Roman" w:cs="Times New Roman"/>
          <w:i/>
          <w:iCs/>
          <w:sz w:val="24"/>
          <w:szCs w:val="24"/>
          <w:lang w:val="de-AT"/>
        </w:rPr>
        <w:t>Critical Legal Studies (CLS)</w:t>
      </w:r>
      <w:r w:rsidRPr="001E33C6">
        <w:rPr>
          <w:rFonts w:ascii="Times New Roman" w:hAnsi="Times New Roman" w:cs="Times New Roman"/>
          <w:sz w:val="24"/>
          <w:szCs w:val="24"/>
          <w:lang w:val="de-AT"/>
        </w:rPr>
        <w:t xml:space="preserve"> betrachten, die im universitären und akademischen Bereich erst in den 1980er Jahren wirklich an Bedeutung gewann.  Die Entwicklung der CLS-Bewegung war eine direkte Folge der Politisierung der </w:t>
      </w:r>
      <w:r w:rsidRPr="001E33C6">
        <w:rPr>
          <w:rFonts w:ascii="Times New Roman" w:hAnsi="Times New Roman" w:cs="Times New Roman"/>
          <w:sz w:val="24"/>
          <w:szCs w:val="24"/>
          <w:lang w:val="de-AT"/>
        </w:rPr>
        <w:lastRenderedPageBreak/>
        <w:t>Rechtsprechung und der obersten Gerichte und in dessen Folge man versuchte, die grundlegenden Fragen der amerikanischen Gesellschaft durch Verfahren vor den Bundesgerichten zu lösen.</w:t>
      </w:r>
    </w:p>
    <w:p w14:paraId="1F894791" w14:textId="21838AD3" w:rsidR="001E33C6" w:rsidRDefault="001E33C6" w:rsidP="001E33C6">
      <w:pPr>
        <w:jc w:val="both"/>
        <w:rPr>
          <w:rFonts w:ascii="Times New Roman" w:hAnsi="Times New Roman" w:cs="Times New Roman"/>
          <w:sz w:val="24"/>
          <w:szCs w:val="24"/>
          <w:lang w:val="de-AT"/>
        </w:rPr>
      </w:pPr>
      <w:r w:rsidRPr="001E33C6">
        <w:rPr>
          <w:rFonts w:ascii="Times New Roman" w:hAnsi="Times New Roman" w:cs="Times New Roman"/>
          <w:sz w:val="24"/>
          <w:szCs w:val="24"/>
          <w:lang w:val="de-AT"/>
        </w:rPr>
        <w:t>Unter dem anregenden Einfluss der Bundesrichter, die sich eine radikale Veränderung der bestehenden Verhältnisse auf die Fahnen geschrieben hatten, entstanden Bewegungen und Vereine, die den politischen Kampf durch das Recht führten; anschließend entstanden in Anwaltskreisen neue Gruppen von Aktivistenjuristen, und all dies führte nach einigen Jahren auch unter den Universitätsjuristen zur Bildung neuer Gruppen von Aktivistenjuristen. Die mittlerweile erweiterte und heterogen gewordene Strömung der kritischen Juristen spaltete sich in diesem Verlauf zunehmend in unterschiedliche interne Gruppen auf, und die „Rechtstheorien“ der feministischen Rechtstheorie, der Rassentheorie sowie einer Reihe weiterer sozialer Gruppen von juristischen Aktivisten zerfielen in separate Kommunikationskreise.</w:t>
      </w:r>
    </w:p>
    <w:p w14:paraId="4BCEA8F3" w14:textId="78C2E0A4" w:rsidR="00E26D66" w:rsidRDefault="00E26D66" w:rsidP="00E26D66">
      <w:pPr>
        <w:jc w:val="both"/>
        <w:rPr>
          <w:rFonts w:ascii="Times New Roman" w:hAnsi="Times New Roman" w:cs="Times New Roman"/>
          <w:sz w:val="24"/>
          <w:szCs w:val="24"/>
          <w:lang w:val="de-AT"/>
        </w:rPr>
      </w:pPr>
      <w:r w:rsidRPr="00E26D66">
        <w:rPr>
          <w:rFonts w:ascii="Times New Roman" w:hAnsi="Times New Roman" w:cs="Times New Roman"/>
          <w:sz w:val="24"/>
          <w:szCs w:val="24"/>
          <w:lang w:val="de-AT"/>
        </w:rPr>
        <w:t>Der interdisziplinäre Forschungskonzept „Recht und Literatur“ ist dualer Natur und stützt sich somit auf die beiden Strömungen „Recht in der Literatur“ (</w:t>
      </w:r>
      <w:r w:rsidRPr="00E26D66">
        <w:rPr>
          <w:rFonts w:ascii="Times New Roman" w:hAnsi="Times New Roman" w:cs="Times New Roman"/>
          <w:i/>
          <w:iCs/>
          <w:sz w:val="24"/>
          <w:szCs w:val="24"/>
          <w:lang w:val="de-AT"/>
        </w:rPr>
        <w:t>law in literature</w:t>
      </w:r>
      <w:r w:rsidRPr="00E26D66">
        <w:rPr>
          <w:rFonts w:ascii="Times New Roman" w:hAnsi="Times New Roman" w:cs="Times New Roman"/>
          <w:sz w:val="24"/>
          <w:szCs w:val="24"/>
          <w:lang w:val="de-AT"/>
        </w:rPr>
        <w:t>) und „Recht als Literatur“ (</w:t>
      </w:r>
      <w:r w:rsidRPr="00E26D66">
        <w:rPr>
          <w:rFonts w:ascii="Times New Roman" w:hAnsi="Times New Roman" w:cs="Times New Roman"/>
          <w:i/>
          <w:iCs/>
          <w:sz w:val="24"/>
          <w:szCs w:val="24"/>
          <w:lang w:val="de-AT"/>
        </w:rPr>
        <w:t>law as literature</w:t>
      </w:r>
      <w:r w:rsidRPr="00E26D66">
        <w:rPr>
          <w:rFonts w:ascii="Times New Roman" w:hAnsi="Times New Roman" w:cs="Times New Roman"/>
          <w:sz w:val="24"/>
          <w:szCs w:val="24"/>
          <w:lang w:val="de-AT"/>
        </w:rPr>
        <w:t xml:space="preserve">). Eines der Hauptprobleme des Ansatzes „Recht in der Literatur“ ist die Analyse des Verhältnisses zwischen Recht und Gerechtigkeit – oder im traditionellen Verständnis: positivem Recht und Naturrecht –, die eng mit der Kritik am Recht verbunden ist. In diesem Zusammenhang dienen nicht nur die kanonisierten Werke der antiken, klassischen und modernen Dramatik – von Sophokles über Shakespeare bis hin zu Bernard Shaw und Brecht – als „Rohmaterial“ an, sondern zur Erforschung des typisch modernen Phänomens der Entfremdung auch die rechtsbezogenen oder mit dem Recht verbundenen Romane des 19. und 20. Jahrhunderts, insbesondere beispielsweise die Werke von Flaubert, Dostojewski, Kafka, Camus oder Melville. Natürlich steht dieses theoretische Bestreben in engstem Zusammenhang mit der </w:t>
      </w:r>
      <w:r w:rsidR="0052798C">
        <w:rPr>
          <w:rFonts w:ascii="Times New Roman" w:hAnsi="Times New Roman" w:cs="Times New Roman"/>
          <w:sz w:val="24"/>
          <w:szCs w:val="24"/>
          <w:lang w:val="de-AT"/>
        </w:rPr>
        <w:t>Richtung</w:t>
      </w:r>
      <w:r w:rsidRPr="00E26D66">
        <w:rPr>
          <w:rFonts w:ascii="Times New Roman" w:hAnsi="Times New Roman" w:cs="Times New Roman"/>
          <w:sz w:val="24"/>
          <w:szCs w:val="24"/>
          <w:lang w:val="de-AT"/>
        </w:rPr>
        <w:t xml:space="preserve"> der „kritischen Rechtsforschung“, und manche Autoren betrachten dies innerhalb des Feldes „Recht und Literatur“ als eigenständigen Ansatz, den sie als „humanistische“ Richtung bezeichnen.</w:t>
      </w:r>
      <w:r>
        <w:rPr>
          <w:rStyle w:val="Funotenzeichen"/>
          <w:rFonts w:ascii="Times New Roman" w:hAnsi="Times New Roman" w:cs="Times New Roman"/>
          <w:sz w:val="24"/>
          <w:szCs w:val="24"/>
          <w:lang w:val="de-AT"/>
        </w:rPr>
        <w:footnoteReference w:id="11"/>
      </w:r>
    </w:p>
    <w:p w14:paraId="5C378E41" w14:textId="77777777" w:rsidR="00CE12A3" w:rsidRDefault="00E26D66" w:rsidP="00E26D66">
      <w:pPr>
        <w:jc w:val="both"/>
        <w:rPr>
          <w:rFonts w:ascii="Times New Roman" w:hAnsi="Times New Roman" w:cs="Times New Roman"/>
          <w:sz w:val="24"/>
          <w:szCs w:val="24"/>
          <w:lang w:val="de-AT"/>
        </w:rPr>
      </w:pPr>
      <w:r w:rsidRPr="00E26D66">
        <w:rPr>
          <w:rFonts w:ascii="Times New Roman" w:hAnsi="Times New Roman" w:cs="Times New Roman"/>
          <w:sz w:val="24"/>
          <w:szCs w:val="24"/>
          <w:lang w:val="de-AT"/>
        </w:rPr>
        <w:t>Eine der Richtungen der sogenannten narrativen Rechtswissenschaft lässt sich dem Bereich „Recht als Literatur“ zuordnen, da im Mittelpunkt ihres Interesses auf einer eher abstrakten theoretischen Ebene die Frage steht, welche Bedeutung Narrative im Allgemeinen in der Welt des Rechts haben. Aus diesem Grund richtet sich ihr Augenmerk weniger auf die Analyse verschiedener literarischer Werke als vielmehr auf die Möglichkeiten, die Ergebnisse der Literaturwissenschaft aus rechtswissenschaftlicher Sicht zu nutzen.</w:t>
      </w:r>
    </w:p>
    <w:p w14:paraId="247DC14E" w14:textId="77777777" w:rsidR="00E479B7" w:rsidRDefault="00CE12A3" w:rsidP="00CE12A3">
      <w:pPr>
        <w:jc w:val="both"/>
        <w:rPr>
          <w:rFonts w:ascii="Times New Roman" w:hAnsi="Times New Roman" w:cs="Times New Roman"/>
          <w:sz w:val="24"/>
          <w:szCs w:val="24"/>
          <w:lang w:val="de-AT"/>
        </w:rPr>
      </w:pPr>
      <w:r w:rsidRPr="00E479B7">
        <w:rPr>
          <w:rFonts w:ascii="Times New Roman" w:hAnsi="Times New Roman" w:cs="Times New Roman"/>
          <w:sz w:val="24"/>
          <w:szCs w:val="24"/>
          <w:lang w:val="de-AT"/>
        </w:rPr>
        <w:t>Die besondere Beziehung zwischen Recht und Literatur beschäftigte die Vertreter der ungarischen Rechtsphilosophie auch am Ende des 20. Jahrhunderts; dennoch gilt das 1942 erschienene Werk „</w:t>
      </w:r>
      <w:r w:rsidR="00E479B7" w:rsidRPr="00E479B7">
        <w:rPr>
          <w:rFonts w:ascii="Times New Roman" w:hAnsi="Times New Roman" w:cs="Times New Roman"/>
          <w:i/>
          <w:iCs/>
          <w:sz w:val="24"/>
          <w:szCs w:val="24"/>
          <w:lang w:val="de-AT"/>
        </w:rPr>
        <w:t>Der Rechtsstreit des Genius: I Socrates; II Johanna</w:t>
      </w:r>
      <w:r w:rsidR="00E479B7" w:rsidRPr="00E479B7">
        <w:rPr>
          <w:rFonts w:ascii="Times New Roman" w:hAnsi="Times New Roman" w:cs="Times New Roman"/>
          <w:sz w:val="24"/>
          <w:szCs w:val="24"/>
          <w:lang w:val="de-AT"/>
        </w:rPr>
        <w:t>”</w:t>
      </w:r>
      <w:r w:rsidRPr="00E479B7">
        <w:rPr>
          <w:rFonts w:ascii="Times New Roman" w:hAnsi="Times New Roman" w:cs="Times New Roman"/>
          <w:sz w:val="24"/>
          <w:szCs w:val="24"/>
          <w:lang w:val="de-AT"/>
        </w:rPr>
        <w:t xml:space="preserve"> des Rechtswissenschaftlers Barna Horváth als wegweisend in der ungarischen Geschichte des Themas „Recht und Literatur“.</w:t>
      </w:r>
      <w:r w:rsidRPr="00E479B7">
        <w:rPr>
          <w:rStyle w:val="Funotenzeichen"/>
          <w:rFonts w:ascii="Times New Roman" w:hAnsi="Times New Roman" w:cs="Times New Roman"/>
          <w:sz w:val="24"/>
          <w:szCs w:val="24"/>
          <w:lang w:val="de-AT"/>
        </w:rPr>
        <w:footnoteReference w:id="12"/>
      </w:r>
      <w:r w:rsidRPr="00E479B7">
        <w:rPr>
          <w:rFonts w:ascii="Times New Roman" w:hAnsi="Times New Roman" w:cs="Times New Roman"/>
          <w:sz w:val="24"/>
          <w:szCs w:val="24"/>
          <w:lang w:val="de-AT"/>
        </w:rPr>
        <w:t xml:space="preserve"> Aus wissenschaftlicher Sicht kann das Werk sowohl als </w:t>
      </w:r>
      <w:r w:rsidRPr="00E479B7">
        <w:rPr>
          <w:rFonts w:ascii="Times New Roman" w:hAnsi="Times New Roman" w:cs="Times New Roman"/>
          <w:sz w:val="24"/>
          <w:szCs w:val="24"/>
          <w:lang w:val="de-AT"/>
        </w:rPr>
        <w:lastRenderedPageBreak/>
        <w:t>rechtssoziologische Fallstudie als auch als rechtshistorische oder rechtsphilosophische Arbeit betrachtet werden, lässt sich aber auch als literarisches Werk lesen und erscheint uns dann als historisches Drama.</w:t>
      </w:r>
    </w:p>
    <w:p w14:paraId="05ABF226" w14:textId="4626D17F" w:rsidR="00CE12A3" w:rsidRDefault="00E479B7" w:rsidP="00CE12A3">
      <w:pPr>
        <w:jc w:val="both"/>
        <w:rPr>
          <w:rFonts w:ascii="Times New Roman" w:hAnsi="Times New Roman" w:cs="Times New Roman"/>
          <w:sz w:val="24"/>
          <w:szCs w:val="24"/>
          <w:lang w:val="de-AT"/>
        </w:rPr>
      </w:pPr>
      <w:r>
        <w:rPr>
          <w:rFonts w:ascii="Times New Roman" w:hAnsi="Times New Roman" w:cs="Times New Roman"/>
          <w:sz w:val="24"/>
          <w:szCs w:val="24"/>
          <w:lang w:val="de-AT"/>
        </w:rPr>
        <w:t xml:space="preserve">Warum ist es so wichtig für unseres Thema? </w:t>
      </w:r>
      <w:r w:rsidRPr="00E479B7">
        <w:rPr>
          <w:rFonts w:ascii="Times New Roman" w:hAnsi="Times New Roman" w:cs="Times New Roman"/>
          <w:sz w:val="24"/>
          <w:szCs w:val="24"/>
          <w:lang w:val="de-AT"/>
        </w:rPr>
        <w:t>Barna Horváth geht in seiner Arbeit von der Annahme aus, dass das Drama und der Prozess methodisch und metaphysisch gesehen einen herausragenden Berührungspunkt zwischen Kunst und Recht darstellen.</w:t>
      </w:r>
      <w:r w:rsidR="004F43E7">
        <w:rPr>
          <w:rFonts w:ascii="Times New Roman" w:hAnsi="Times New Roman" w:cs="Times New Roman"/>
          <w:sz w:val="24"/>
          <w:szCs w:val="24"/>
          <w:lang w:val="de-AT"/>
        </w:rPr>
        <w:t xml:space="preserve"> </w:t>
      </w:r>
      <w:r w:rsidR="004F43E7" w:rsidRPr="004F43E7">
        <w:rPr>
          <w:rFonts w:ascii="Times New Roman" w:hAnsi="Times New Roman" w:cs="Times New Roman"/>
          <w:sz w:val="24"/>
          <w:szCs w:val="24"/>
          <w:lang w:val="de-AT"/>
        </w:rPr>
        <w:t>Der Rechtswissenschaftler beginnt seinen Gedankengang mit einem unvergleichlich einzigartigen Auftakt:</w:t>
      </w:r>
    </w:p>
    <w:p w14:paraId="5D83D806" w14:textId="7C519BEA" w:rsidR="004F43E7" w:rsidRPr="00E479B7" w:rsidRDefault="004F43E7" w:rsidP="006B0F68">
      <w:pPr>
        <w:tabs>
          <w:tab w:val="left" w:pos="8080"/>
        </w:tabs>
        <w:ind w:left="709" w:right="946"/>
        <w:jc w:val="both"/>
        <w:rPr>
          <w:rFonts w:ascii="Times New Roman" w:hAnsi="Times New Roman" w:cs="Times New Roman"/>
          <w:sz w:val="24"/>
          <w:szCs w:val="24"/>
          <w:lang w:val="de-AT"/>
        </w:rPr>
      </w:pPr>
      <w:r>
        <w:rPr>
          <w:rFonts w:ascii="Times New Roman" w:hAnsi="Times New Roman" w:cs="Times New Roman"/>
          <w:sz w:val="24"/>
          <w:szCs w:val="24"/>
          <w:lang w:val="de-AT"/>
        </w:rPr>
        <w:t>In der beinahe blendenden Beleuchtung, die durch das Zusammentreffen von Genius, Drama, Prozeß und Recht hervorgebracht wird</w:t>
      </w:r>
      <w:r w:rsidR="006B0F68">
        <w:rPr>
          <w:rFonts w:ascii="Times New Roman" w:hAnsi="Times New Roman" w:cs="Times New Roman"/>
          <w:sz w:val="24"/>
          <w:szCs w:val="24"/>
          <w:lang w:val="de-AT"/>
        </w:rPr>
        <w:t>, ziehen bald der Genius und das Drama, bald der Prozeß und das Recht der Aufmerksamkeit an sich. Aber die Lichter leuchtet zusammen auf und die Sinnbilder werden aneinander erhellt.</w:t>
      </w:r>
    </w:p>
    <w:p w14:paraId="2EF78D3F" w14:textId="77777777" w:rsidR="001E33C6" w:rsidRPr="001E33C6" w:rsidRDefault="001E33C6" w:rsidP="001C45CD">
      <w:pPr>
        <w:jc w:val="both"/>
        <w:rPr>
          <w:rFonts w:ascii="Times New Roman" w:hAnsi="Times New Roman" w:cs="Times New Roman"/>
          <w:sz w:val="24"/>
          <w:szCs w:val="24"/>
          <w:lang w:val="hu-HU"/>
        </w:rPr>
      </w:pPr>
    </w:p>
    <w:p w14:paraId="59979F0C" w14:textId="6612D665" w:rsidR="001C45CD" w:rsidRDefault="001C45CD" w:rsidP="001C45CD">
      <w:pPr>
        <w:jc w:val="both"/>
        <w:rPr>
          <w:rFonts w:ascii="Times New Roman" w:hAnsi="Times New Roman" w:cs="Times New Roman"/>
          <w:b/>
          <w:bCs/>
          <w:sz w:val="24"/>
          <w:szCs w:val="24"/>
          <w:lang w:val="de-AT"/>
        </w:rPr>
      </w:pPr>
      <w:r w:rsidRPr="00C60EDC">
        <w:rPr>
          <w:rFonts w:ascii="Times New Roman" w:hAnsi="Times New Roman" w:cs="Times New Roman"/>
          <w:b/>
          <w:bCs/>
          <w:sz w:val="24"/>
          <w:szCs w:val="24"/>
          <w:lang w:val="de-AT"/>
        </w:rPr>
        <w:t>Aischylos als Vorbild</w:t>
      </w:r>
    </w:p>
    <w:p w14:paraId="6C0BF8B7" w14:textId="77777777" w:rsidR="00BE436F" w:rsidRDefault="001C45CD" w:rsidP="001C45CD">
      <w:pPr>
        <w:jc w:val="both"/>
        <w:rPr>
          <w:rFonts w:ascii="Times New Roman" w:hAnsi="Times New Roman" w:cs="Times New Roman"/>
          <w:sz w:val="24"/>
          <w:szCs w:val="24"/>
          <w:lang w:val="de-AT"/>
        </w:rPr>
      </w:pPr>
      <w:r w:rsidRPr="00E37BA2">
        <w:rPr>
          <w:rFonts w:ascii="Times New Roman" w:hAnsi="Times New Roman" w:cs="Times New Roman"/>
          <w:sz w:val="24"/>
          <w:szCs w:val="24"/>
          <w:lang w:val="de-AT"/>
        </w:rPr>
        <w:t>In</w:t>
      </w:r>
      <w:r>
        <w:rPr>
          <w:rFonts w:ascii="Times New Roman" w:hAnsi="Times New Roman" w:cs="Times New Roman"/>
          <w:sz w:val="24"/>
          <w:szCs w:val="24"/>
          <w:lang w:val="de-AT"/>
        </w:rPr>
        <w:t xml:space="preserve"> der Originalfassung</w:t>
      </w:r>
      <w:r w:rsidRPr="00E37BA2">
        <w:rPr>
          <w:rFonts w:ascii="Times New Roman" w:hAnsi="Times New Roman" w:cs="Times New Roman"/>
          <w:sz w:val="24"/>
          <w:szCs w:val="24"/>
          <w:lang w:val="de-AT"/>
        </w:rPr>
        <w:t xml:space="preserve"> "</w:t>
      </w:r>
      <w:r w:rsidRPr="00E37BA2">
        <w:rPr>
          <w:rFonts w:ascii="Times New Roman" w:hAnsi="Times New Roman" w:cs="Times New Roman"/>
          <w:i/>
          <w:iCs/>
          <w:sz w:val="24"/>
          <w:szCs w:val="24"/>
          <w:lang w:val="de-AT"/>
        </w:rPr>
        <w:t>Die Schutzbefohlenen</w:t>
      </w:r>
      <w:r w:rsidRPr="00E37BA2">
        <w:rPr>
          <w:rFonts w:ascii="Times New Roman" w:hAnsi="Times New Roman" w:cs="Times New Roman"/>
          <w:sz w:val="24"/>
          <w:szCs w:val="24"/>
          <w:lang w:val="de-AT"/>
        </w:rPr>
        <w:t>" verarbeitet Jelinek einerseits den Protest pakistanischer Flüchtlinge in Wien 2012, die das Flüchtlingsheim Traiskirchen verließen, um in die Innenstadt zu ziehen und sich und ihrem Anliegen zur Sichtbarkeit zu verhelfen; andererseits den Tod von 366 Flüchtlingen im Oktober 2013 vor der Küste Lampedusas.</w:t>
      </w:r>
    </w:p>
    <w:p w14:paraId="297150DD" w14:textId="382DC177" w:rsidR="001C45CD" w:rsidRDefault="00BE436F" w:rsidP="001C45CD">
      <w:pPr>
        <w:jc w:val="both"/>
        <w:rPr>
          <w:rFonts w:ascii="Times New Roman" w:hAnsi="Times New Roman" w:cs="Times New Roman"/>
          <w:sz w:val="24"/>
          <w:szCs w:val="24"/>
          <w:lang w:val="de-AT"/>
        </w:rPr>
      </w:pPr>
      <w:r w:rsidRPr="00BE436F">
        <w:rPr>
          <w:rFonts w:ascii="Times New Roman" w:hAnsi="Times New Roman" w:cs="Times New Roman"/>
          <w:sz w:val="24"/>
          <w:szCs w:val="24"/>
          <w:lang w:val="de-AT"/>
        </w:rPr>
        <w:t>Hier könnte dem Leser ein ganz besonderes Büchlein von Khaled Hosseini i</w:t>
      </w:r>
      <w:r>
        <w:rPr>
          <w:rFonts w:ascii="Times New Roman" w:hAnsi="Times New Roman" w:cs="Times New Roman"/>
          <w:sz w:val="24"/>
          <w:szCs w:val="24"/>
          <w:lang w:val="de-AT"/>
        </w:rPr>
        <w:t xml:space="preserve">m </w:t>
      </w:r>
      <w:r w:rsidRPr="00BE436F">
        <w:rPr>
          <w:rFonts w:ascii="Times New Roman" w:hAnsi="Times New Roman" w:cs="Times New Roman"/>
          <w:sz w:val="24"/>
          <w:szCs w:val="24"/>
          <w:lang w:val="de-AT"/>
        </w:rPr>
        <w:t>Sinne kommen.</w:t>
      </w:r>
      <w:r>
        <w:rPr>
          <w:rFonts w:ascii="Times New Roman" w:hAnsi="Times New Roman" w:cs="Times New Roman"/>
          <w:sz w:val="24"/>
          <w:szCs w:val="24"/>
          <w:lang w:val="de-AT"/>
        </w:rPr>
        <w:t xml:space="preserve"> V</w:t>
      </w:r>
      <w:r w:rsidRPr="00BE436F">
        <w:rPr>
          <w:rFonts w:ascii="Times New Roman" w:hAnsi="Times New Roman" w:cs="Times New Roman"/>
          <w:sz w:val="24"/>
          <w:szCs w:val="24"/>
          <w:lang w:val="de-AT"/>
        </w:rPr>
        <w:t>on "</w:t>
      </w:r>
      <w:r w:rsidRPr="00BE436F">
        <w:rPr>
          <w:rFonts w:ascii="Times New Roman" w:hAnsi="Times New Roman" w:cs="Times New Roman"/>
          <w:i/>
          <w:iCs/>
          <w:sz w:val="24"/>
          <w:szCs w:val="24"/>
          <w:lang w:val="de-AT"/>
        </w:rPr>
        <w:t>Am Abend vor dem Meer</w:t>
      </w:r>
      <w:r w:rsidRPr="00BE436F">
        <w:rPr>
          <w:rFonts w:ascii="Times New Roman" w:hAnsi="Times New Roman" w:cs="Times New Roman"/>
          <w:sz w:val="24"/>
          <w:szCs w:val="24"/>
          <w:lang w:val="de-AT"/>
        </w:rPr>
        <w:t>" sagt Khaled Hosseini selbst, dass es der Versuch sei,</w:t>
      </w:r>
      <w:r>
        <w:rPr>
          <w:rFonts w:ascii="Times New Roman" w:hAnsi="Times New Roman" w:cs="Times New Roman"/>
          <w:sz w:val="24"/>
          <w:szCs w:val="24"/>
          <w:lang w:val="de-AT"/>
        </w:rPr>
        <w:t xml:space="preserve"> laut Buchumschlag</w:t>
      </w:r>
      <w:r w:rsidRPr="00BE436F">
        <w:rPr>
          <w:rFonts w:ascii="Times New Roman" w:hAnsi="Times New Roman" w:cs="Times New Roman"/>
          <w:sz w:val="24"/>
          <w:szCs w:val="24"/>
          <w:lang w:val="de-AT"/>
        </w:rPr>
        <w:t xml:space="preserve"> "die Millionen von Familien zu ehren, die auseinandergerissen und gezwungen wurden, ihre Heimat zu verlassen". Inspiriert wurde die Geschichte vom Schicksal eines syrischen Jungen, der 2015 im Alter von drei Jahren im Meer ertrank - auf dem Weg in ein besseres Leben.</w:t>
      </w:r>
      <w:r w:rsidR="001C45CD" w:rsidRPr="00E37BA2">
        <w:rPr>
          <w:rFonts w:ascii="Times New Roman" w:hAnsi="Times New Roman" w:cs="Times New Roman"/>
          <w:sz w:val="24"/>
          <w:szCs w:val="24"/>
          <w:lang w:val="de-AT"/>
        </w:rPr>
        <w:t xml:space="preserve"> </w:t>
      </w:r>
    </w:p>
    <w:p w14:paraId="5D569688" w14:textId="730FD10A" w:rsidR="008443AB" w:rsidRDefault="0017641A" w:rsidP="009F246F">
      <w:pPr>
        <w:jc w:val="both"/>
        <w:rPr>
          <w:rFonts w:ascii="Times New Roman" w:hAnsi="Times New Roman" w:cs="Times New Roman"/>
          <w:sz w:val="24"/>
          <w:szCs w:val="24"/>
          <w:lang w:val="de-AT"/>
        </w:rPr>
      </w:pPr>
      <w:r>
        <w:rPr>
          <w:rFonts w:ascii="Times New Roman" w:hAnsi="Times New Roman" w:cs="Times New Roman"/>
          <w:sz w:val="24"/>
          <w:szCs w:val="24"/>
          <w:lang w:val="de-AT"/>
        </w:rPr>
        <w:t>„</w:t>
      </w:r>
      <w:r w:rsidR="00CD47E4" w:rsidRPr="00CD47E4">
        <w:rPr>
          <w:rFonts w:ascii="Times New Roman" w:hAnsi="Times New Roman" w:cs="Times New Roman"/>
          <w:sz w:val="24"/>
          <w:szCs w:val="24"/>
          <w:lang w:val="de-AT"/>
        </w:rPr>
        <w:t>Die Schutzflehenden</w:t>
      </w:r>
      <w:r>
        <w:rPr>
          <w:rFonts w:ascii="Times New Roman" w:hAnsi="Times New Roman" w:cs="Times New Roman"/>
          <w:sz w:val="24"/>
          <w:szCs w:val="24"/>
          <w:lang w:val="de-AT"/>
        </w:rPr>
        <w:t>“</w:t>
      </w:r>
      <w:r w:rsidR="00CD47E4" w:rsidRPr="00CD47E4">
        <w:rPr>
          <w:rFonts w:ascii="Times New Roman" w:hAnsi="Times New Roman" w:cs="Times New Roman"/>
          <w:sz w:val="24"/>
          <w:szCs w:val="24"/>
          <w:lang w:val="de-AT"/>
        </w:rPr>
        <w:t xml:space="preserve"> (Hiketides, lateinisch Supplices) ist eine klassische griechische Tragödie von Aischylos.</w:t>
      </w:r>
    </w:p>
    <w:p w14:paraId="60922882" w14:textId="22107E5B" w:rsidR="00CD47E4" w:rsidRDefault="0017641A" w:rsidP="009F246F">
      <w:pPr>
        <w:jc w:val="both"/>
        <w:rPr>
          <w:rFonts w:ascii="Times New Roman" w:hAnsi="Times New Roman" w:cs="Times New Roman"/>
          <w:sz w:val="24"/>
          <w:szCs w:val="24"/>
          <w:lang w:val="de-AT"/>
        </w:rPr>
      </w:pPr>
      <w:r>
        <w:rPr>
          <w:rFonts w:ascii="Times New Roman" w:hAnsi="Times New Roman" w:cs="Times New Roman"/>
          <w:sz w:val="24"/>
          <w:szCs w:val="24"/>
          <w:lang w:val="de-AT"/>
        </w:rPr>
        <w:t>(</w:t>
      </w:r>
      <w:r w:rsidR="00CD47E4">
        <w:rPr>
          <w:rFonts w:ascii="Times New Roman" w:hAnsi="Times New Roman" w:cs="Times New Roman"/>
          <w:sz w:val="24"/>
          <w:szCs w:val="24"/>
          <w:lang w:val="de-AT"/>
        </w:rPr>
        <w:t>Vorführungen in Österreich</w:t>
      </w:r>
      <w:r>
        <w:rPr>
          <w:rFonts w:ascii="Times New Roman" w:hAnsi="Times New Roman" w:cs="Times New Roman"/>
          <w:sz w:val="24"/>
          <w:szCs w:val="24"/>
          <w:lang w:val="de-AT"/>
        </w:rPr>
        <w:t xml:space="preserve">, </w:t>
      </w:r>
      <w:r w:rsidR="00CD47E4">
        <w:rPr>
          <w:rFonts w:ascii="Times New Roman" w:hAnsi="Times New Roman" w:cs="Times New Roman"/>
          <w:sz w:val="24"/>
          <w:szCs w:val="24"/>
          <w:lang w:val="de-AT"/>
        </w:rPr>
        <w:t>Vorführungen in Ungarn</w:t>
      </w:r>
      <w:r>
        <w:rPr>
          <w:rFonts w:ascii="Times New Roman" w:hAnsi="Times New Roman" w:cs="Times New Roman"/>
          <w:sz w:val="24"/>
          <w:szCs w:val="24"/>
          <w:lang w:val="de-AT"/>
        </w:rPr>
        <w:t xml:space="preserve"> – ausarbeitend)</w:t>
      </w:r>
    </w:p>
    <w:p w14:paraId="0736B9F2" w14:textId="147D3690" w:rsidR="008443AB" w:rsidRDefault="008443AB" w:rsidP="009F246F">
      <w:pPr>
        <w:jc w:val="both"/>
        <w:rPr>
          <w:rFonts w:ascii="Times New Roman" w:hAnsi="Times New Roman" w:cs="Times New Roman"/>
          <w:sz w:val="24"/>
          <w:szCs w:val="24"/>
          <w:u w:val="single"/>
          <w:lang w:val="de-AT"/>
        </w:rPr>
      </w:pPr>
      <w:r>
        <w:rPr>
          <w:rFonts w:ascii="Times New Roman" w:hAnsi="Times New Roman" w:cs="Times New Roman"/>
          <w:sz w:val="24"/>
          <w:szCs w:val="24"/>
          <w:u w:val="single"/>
          <w:lang w:val="de-AT"/>
        </w:rPr>
        <w:t>Jelinek‘</w:t>
      </w:r>
      <w:r w:rsidR="00CD47E4">
        <w:rPr>
          <w:rFonts w:ascii="Times New Roman" w:hAnsi="Times New Roman" w:cs="Times New Roman"/>
          <w:sz w:val="24"/>
          <w:szCs w:val="24"/>
          <w:u w:val="single"/>
          <w:lang w:val="de-AT"/>
        </w:rPr>
        <w:t>s</w:t>
      </w:r>
      <w:r>
        <w:rPr>
          <w:rFonts w:ascii="Times New Roman" w:hAnsi="Times New Roman" w:cs="Times New Roman"/>
          <w:sz w:val="24"/>
          <w:szCs w:val="24"/>
          <w:u w:val="single"/>
          <w:lang w:val="de-AT"/>
        </w:rPr>
        <w:t xml:space="preserve"> Schutzbefohlenen</w:t>
      </w:r>
      <w:r w:rsidR="005477ED">
        <w:rPr>
          <w:rFonts w:ascii="Times New Roman" w:hAnsi="Times New Roman" w:cs="Times New Roman"/>
          <w:sz w:val="24"/>
          <w:szCs w:val="24"/>
          <w:u w:val="single"/>
          <w:lang w:val="de-AT"/>
        </w:rPr>
        <w:t xml:space="preserve"> – Was danach geschah </w:t>
      </w:r>
    </w:p>
    <w:p w14:paraId="60150B7D" w14:textId="7C8E7A40" w:rsidR="005477ED" w:rsidRPr="005477ED" w:rsidRDefault="005477ED" w:rsidP="009F246F">
      <w:pPr>
        <w:jc w:val="both"/>
        <w:rPr>
          <w:rFonts w:ascii="Times New Roman" w:hAnsi="Times New Roman" w:cs="Times New Roman"/>
          <w:sz w:val="24"/>
          <w:szCs w:val="24"/>
          <w:lang w:val="de-AT"/>
        </w:rPr>
      </w:pPr>
      <w:r w:rsidRPr="005477ED">
        <w:rPr>
          <w:rFonts w:ascii="Times New Roman" w:hAnsi="Times New Roman" w:cs="Times New Roman"/>
          <w:sz w:val="24"/>
          <w:szCs w:val="24"/>
          <w:lang w:val="de-AT"/>
        </w:rPr>
        <w:t>Österreichische Erstaufführung 08.05.2027 im Landetheater Linz, Kammerspiele</w:t>
      </w:r>
      <w:r>
        <w:rPr>
          <w:rFonts w:ascii="Times New Roman" w:hAnsi="Times New Roman" w:cs="Times New Roman"/>
          <w:sz w:val="24"/>
          <w:szCs w:val="24"/>
          <w:lang w:val="de-AT"/>
        </w:rPr>
        <w:t xml:space="preserve"> (ausarbeitend)</w:t>
      </w:r>
    </w:p>
    <w:p w14:paraId="0DC5441D" w14:textId="2E75D61B" w:rsidR="008443AB" w:rsidRDefault="008443AB" w:rsidP="009F246F">
      <w:pPr>
        <w:jc w:val="both"/>
        <w:rPr>
          <w:rFonts w:ascii="Times New Roman" w:hAnsi="Times New Roman" w:cs="Times New Roman"/>
          <w:sz w:val="24"/>
          <w:szCs w:val="24"/>
          <w:lang w:val="de-AT"/>
        </w:rPr>
      </w:pPr>
    </w:p>
    <w:p w14:paraId="4EB298A1" w14:textId="77777777" w:rsidR="005477ED" w:rsidRDefault="005477ED" w:rsidP="009F246F">
      <w:pPr>
        <w:jc w:val="both"/>
        <w:rPr>
          <w:rFonts w:ascii="Times New Roman" w:hAnsi="Times New Roman" w:cs="Times New Roman"/>
          <w:sz w:val="24"/>
          <w:szCs w:val="24"/>
          <w:lang w:val="de-AT"/>
        </w:rPr>
      </w:pPr>
    </w:p>
    <w:p w14:paraId="00D380A1" w14:textId="77777777" w:rsidR="005477ED" w:rsidRPr="00436833" w:rsidRDefault="005477ED" w:rsidP="009F246F">
      <w:pPr>
        <w:jc w:val="both"/>
        <w:rPr>
          <w:rFonts w:ascii="Times New Roman" w:hAnsi="Times New Roman" w:cs="Times New Roman"/>
          <w:sz w:val="24"/>
          <w:szCs w:val="24"/>
          <w:lang w:val="de-AT"/>
        </w:rPr>
      </w:pPr>
    </w:p>
    <w:p w14:paraId="01E32FEA" w14:textId="17F182BC" w:rsidR="00CD47E4" w:rsidRPr="00B21DE4" w:rsidRDefault="00FF16BF" w:rsidP="009F246F">
      <w:pPr>
        <w:jc w:val="both"/>
        <w:rPr>
          <w:rFonts w:ascii="Times New Roman" w:hAnsi="Times New Roman" w:cs="Times New Roman"/>
          <w:b/>
          <w:bCs/>
          <w:sz w:val="24"/>
          <w:szCs w:val="24"/>
          <w:lang w:val="de-AT"/>
        </w:rPr>
      </w:pPr>
      <w:r w:rsidRPr="00B21DE4">
        <w:rPr>
          <w:rFonts w:ascii="Times New Roman" w:hAnsi="Times New Roman" w:cs="Times New Roman"/>
          <w:b/>
          <w:bCs/>
          <w:sz w:val="24"/>
          <w:szCs w:val="24"/>
          <w:lang w:val="de-AT"/>
        </w:rPr>
        <w:t xml:space="preserve">Fluchtjahren 2015/2016 in der </w:t>
      </w:r>
      <w:r w:rsidR="00CD47E4" w:rsidRPr="00B21DE4">
        <w:rPr>
          <w:rFonts w:ascii="Times New Roman" w:hAnsi="Times New Roman" w:cs="Times New Roman"/>
          <w:b/>
          <w:bCs/>
          <w:sz w:val="24"/>
          <w:szCs w:val="24"/>
          <w:lang w:val="de-AT"/>
        </w:rPr>
        <w:t>Migrantenliteratur</w:t>
      </w:r>
      <w:r w:rsidRPr="00B21DE4">
        <w:rPr>
          <w:rFonts w:ascii="Times New Roman" w:hAnsi="Times New Roman" w:cs="Times New Roman"/>
          <w:b/>
          <w:bCs/>
          <w:sz w:val="24"/>
          <w:szCs w:val="24"/>
          <w:lang w:val="de-AT"/>
        </w:rPr>
        <w:t xml:space="preserve"> und dem </w:t>
      </w:r>
      <w:r w:rsidR="00412EF6" w:rsidRPr="00B21DE4">
        <w:rPr>
          <w:rFonts w:ascii="Times New Roman" w:hAnsi="Times New Roman" w:cs="Times New Roman"/>
          <w:b/>
          <w:bCs/>
          <w:sz w:val="24"/>
          <w:szCs w:val="24"/>
          <w:lang w:val="de-AT"/>
        </w:rPr>
        <w:t>M</w:t>
      </w:r>
      <w:r w:rsidR="00CD47E4" w:rsidRPr="00B21DE4">
        <w:rPr>
          <w:rFonts w:ascii="Times New Roman" w:hAnsi="Times New Roman" w:cs="Times New Roman"/>
          <w:b/>
          <w:bCs/>
          <w:sz w:val="24"/>
          <w:szCs w:val="24"/>
          <w:lang w:val="de-AT"/>
        </w:rPr>
        <w:t>igrantenrecht in Ungarn</w:t>
      </w:r>
    </w:p>
    <w:p w14:paraId="57D9CC6F" w14:textId="77777777" w:rsidR="005477ED" w:rsidRDefault="005477ED" w:rsidP="005477ED">
      <w:pPr>
        <w:spacing w:after="0"/>
        <w:jc w:val="both"/>
        <w:rPr>
          <w:rFonts w:ascii="Times New Roman" w:hAnsi="Times New Roman" w:cs="Times New Roman"/>
          <w:sz w:val="24"/>
          <w:szCs w:val="24"/>
          <w:lang w:val="de-AT"/>
        </w:rPr>
      </w:pPr>
    </w:p>
    <w:p w14:paraId="5F4936EA" w14:textId="6B9F42FD" w:rsidR="00761945" w:rsidRDefault="00761945" w:rsidP="005477ED">
      <w:pPr>
        <w:spacing w:after="0"/>
        <w:jc w:val="both"/>
        <w:rPr>
          <w:rFonts w:ascii="Times New Roman" w:hAnsi="Times New Roman" w:cs="Times New Roman"/>
          <w:sz w:val="24"/>
          <w:szCs w:val="24"/>
          <w:lang w:val="de-AT"/>
        </w:rPr>
      </w:pPr>
      <w:r w:rsidRPr="00761945">
        <w:rPr>
          <w:rFonts w:ascii="Times New Roman" w:hAnsi="Times New Roman" w:cs="Times New Roman"/>
          <w:sz w:val="24"/>
          <w:szCs w:val="24"/>
          <w:lang w:val="de-AT"/>
        </w:rPr>
        <w:t xml:space="preserve">In Ungarn hat sich vom </w:t>
      </w:r>
      <w:r w:rsidR="002A701A">
        <w:rPr>
          <w:rFonts w:ascii="Times New Roman" w:hAnsi="Times New Roman" w:cs="Times New Roman"/>
          <w:sz w:val="24"/>
          <w:szCs w:val="24"/>
          <w:lang w:val="de-AT"/>
        </w:rPr>
        <w:t xml:space="preserve">1989/1990 </w:t>
      </w:r>
      <w:r w:rsidRPr="00761945">
        <w:rPr>
          <w:rFonts w:ascii="Times New Roman" w:hAnsi="Times New Roman" w:cs="Times New Roman"/>
          <w:sz w:val="24"/>
          <w:szCs w:val="24"/>
          <w:lang w:val="de-AT"/>
        </w:rPr>
        <w:t xml:space="preserve">Systemwechsel bis zur </w:t>
      </w:r>
      <w:r w:rsidR="002A701A">
        <w:rPr>
          <w:rFonts w:ascii="Times New Roman" w:hAnsi="Times New Roman" w:cs="Times New Roman"/>
          <w:sz w:val="24"/>
          <w:szCs w:val="24"/>
          <w:lang w:val="de-AT"/>
        </w:rPr>
        <w:t>Migration</w:t>
      </w:r>
      <w:r w:rsidRPr="00761945">
        <w:rPr>
          <w:rFonts w:ascii="Times New Roman" w:hAnsi="Times New Roman" w:cs="Times New Roman"/>
          <w:sz w:val="24"/>
          <w:szCs w:val="24"/>
          <w:lang w:val="de-AT"/>
        </w:rPr>
        <w:t>skrise 2015 langsam, aber stetig ein rechtliches und institutionelles System entwickelt, das die Aufnahme und Integration von Flüchtlingen unterstützte und sich zunehmend an die europäischen Normen anpasste. Zwischen 2015 und 2020 hat die Regierung dieses System abgebaut und ausgehöhlt.</w:t>
      </w:r>
    </w:p>
    <w:p w14:paraId="510D3B10" w14:textId="77777777" w:rsidR="005477ED" w:rsidRPr="00761945" w:rsidRDefault="005477ED" w:rsidP="005477ED">
      <w:pPr>
        <w:spacing w:after="0"/>
        <w:jc w:val="both"/>
        <w:rPr>
          <w:rFonts w:ascii="Times New Roman" w:hAnsi="Times New Roman" w:cs="Times New Roman"/>
          <w:sz w:val="24"/>
          <w:szCs w:val="24"/>
          <w:lang w:val="de-AT"/>
        </w:rPr>
      </w:pPr>
    </w:p>
    <w:p w14:paraId="4115B462" w14:textId="77777777" w:rsidR="002117B6" w:rsidRDefault="002117B6" w:rsidP="00761945">
      <w:pPr>
        <w:jc w:val="both"/>
        <w:rPr>
          <w:rFonts w:ascii="Times New Roman" w:hAnsi="Times New Roman" w:cs="Times New Roman"/>
          <w:sz w:val="24"/>
          <w:szCs w:val="24"/>
          <w:lang w:val="de-AT"/>
        </w:rPr>
      </w:pPr>
      <w:r w:rsidRPr="002117B6">
        <w:rPr>
          <w:rFonts w:ascii="Times New Roman" w:hAnsi="Times New Roman" w:cs="Times New Roman"/>
          <w:sz w:val="24"/>
          <w:szCs w:val="24"/>
          <w:lang w:val="de-AT"/>
        </w:rPr>
        <w:t xml:space="preserve">Als Reaktion auf die Migrationskrise und den damit verbundenen Zustrom zahlreicher Personen, die internationalen Schutz beantragten, </w:t>
      </w:r>
      <w:r>
        <w:rPr>
          <w:rFonts w:ascii="Times New Roman" w:hAnsi="Times New Roman" w:cs="Times New Roman"/>
          <w:sz w:val="24"/>
          <w:szCs w:val="24"/>
          <w:lang w:val="de-AT"/>
        </w:rPr>
        <w:t>i</w:t>
      </w:r>
      <w:r w:rsidR="00761945" w:rsidRPr="00761945">
        <w:rPr>
          <w:rFonts w:ascii="Times New Roman" w:hAnsi="Times New Roman" w:cs="Times New Roman"/>
          <w:sz w:val="24"/>
          <w:szCs w:val="24"/>
          <w:lang w:val="de-AT"/>
        </w:rPr>
        <w:t xml:space="preserve">m Jahr 2015 hat die Regierung den durch die Masseneinwanderung verursachten Krisenzustand ausgerufen, den sie seitdem alle sechs Monate verlängert hat. </w:t>
      </w:r>
      <w:r w:rsidRPr="002117B6">
        <w:rPr>
          <w:rFonts w:ascii="Times New Roman" w:hAnsi="Times New Roman" w:cs="Times New Roman"/>
          <w:sz w:val="24"/>
          <w:szCs w:val="24"/>
          <w:lang w:val="de-AT"/>
        </w:rPr>
        <w:t>Ein Gesetz von 2015 sah u. a. die Einrichtung von Transitzonen an der serbisch-ungarischen Grenze vor, in denen die Asylverfahren durchgeführt werden</w:t>
      </w:r>
      <w:r>
        <w:rPr>
          <w:rFonts w:ascii="Times New Roman" w:hAnsi="Times New Roman" w:cs="Times New Roman"/>
          <w:sz w:val="24"/>
          <w:szCs w:val="24"/>
          <w:lang w:val="de-AT"/>
        </w:rPr>
        <w:t>. D</w:t>
      </w:r>
      <w:r w:rsidR="00761945" w:rsidRPr="00761945">
        <w:rPr>
          <w:rFonts w:ascii="Times New Roman" w:hAnsi="Times New Roman" w:cs="Times New Roman"/>
          <w:sz w:val="24"/>
          <w:szCs w:val="24"/>
          <w:lang w:val="de-AT"/>
        </w:rPr>
        <w:t>ie Flüchtlinge mussten ihre Asylanträge in den an der Grenze eingerichteten Containerlagern, den sogenannten Transitzonen, stellen. Die öffentliche Meinung wurde durch Plakatkampagnen, ein Referendum und das sogenannte „</w:t>
      </w:r>
      <w:r w:rsidR="00761945" w:rsidRPr="002117B6">
        <w:rPr>
          <w:rFonts w:ascii="Times New Roman" w:hAnsi="Times New Roman" w:cs="Times New Roman"/>
          <w:i/>
          <w:iCs/>
          <w:sz w:val="24"/>
          <w:szCs w:val="24"/>
          <w:lang w:val="de-AT"/>
        </w:rPr>
        <w:t>Stop-Soros</w:t>
      </w:r>
      <w:r w:rsidR="00761945" w:rsidRPr="00761945">
        <w:rPr>
          <w:rFonts w:ascii="Times New Roman" w:hAnsi="Times New Roman" w:cs="Times New Roman"/>
          <w:sz w:val="24"/>
          <w:szCs w:val="24"/>
          <w:lang w:val="de-AT"/>
        </w:rPr>
        <w:t>“-Gesetz gegen die Flüchtlinge aufgehetzt. Der Integrationsvertrag wurde aufgehoben, EU-Mittel wurden den zivilgesellschaftlichen Organisationen vorenthalten.</w:t>
      </w:r>
    </w:p>
    <w:p w14:paraId="59596F40" w14:textId="1BC0AB7A" w:rsidR="002117B6" w:rsidRDefault="002117B6" w:rsidP="002117B6">
      <w:pPr>
        <w:jc w:val="both"/>
        <w:rPr>
          <w:rFonts w:ascii="Times New Roman" w:hAnsi="Times New Roman" w:cs="Times New Roman"/>
          <w:sz w:val="24"/>
          <w:szCs w:val="24"/>
          <w:lang w:val="de-AT"/>
        </w:rPr>
      </w:pPr>
      <w:r>
        <w:rPr>
          <w:rFonts w:ascii="Times New Roman" w:hAnsi="Times New Roman" w:cs="Times New Roman"/>
          <w:sz w:val="24"/>
          <w:szCs w:val="24"/>
          <w:lang w:val="de-AT"/>
        </w:rPr>
        <w:t>Auf e</w:t>
      </w:r>
      <w:r w:rsidRPr="002117B6">
        <w:rPr>
          <w:rFonts w:ascii="Times New Roman" w:hAnsi="Times New Roman" w:cs="Times New Roman"/>
          <w:sz w:val="24"/>
          <w:szCs w:val="24"/>
          <w:lang w:val="de-AT"/>
        </w:rPr>
        <w:t>uropäische</w:t>
      </w:r>
      <w:r>
        <w:rPr>
          <w:rFonts w:ascii="Times New Roman" w:hAnsi="Times New Roman" w:cs="Times New Roman"/>
          <w:sz w:val="24"/>
          <w:szCs w:val="24"/>
          <w:lang w:val="de-AT"/>
        </w:rPr>
        <w:t>n</w:t>
      </w:r>
      <w:r w:rsidRPr="002117B6">
        <w:rPr>
          <w:rFonts w:ascii="Times New Roman" w:hAnsi="Times New Roman" w:cs="Times New Roman"/>
          <w:sz w:val="24"/>
          <w:szCs w:val="24"/>
          <w:lang w:val="de-AT"/>
        </w:rPr>
        <w:t xml:space="preserve"> </w:t>
      </w:r>
      <w:r>
        <w:rPr>
          <w:rFonts w:ascii="Times New Roman" w:hAnsi="Times New Roman" w:cs="Times New Roman"/>
          <w:sz w:val="24"/>
          <w:szCs w:val="24"/>
          <w:lang w:val="de-AT"/>
        </w:rPr>
        <w:t>Ebenen</w:t>
      </w:r>
      <w:r w:rsidRPr="002117B6">
        <w:rPr>
          <w:rFonts w:ascii="Times New Roman" w:hAnsi="Times New Roman" w:cs="Times New Roman"/>
          <w:sz w:val="24"/>
          <w:szCs w:val="24"/>
          <w:lang w:val="de-AT"/>
        </w:rPr>
        <w:t xml:space="preserve"> hatte</w:t>
      </w:r>
      <w:r>
        <w:rPr>
          <w:rFonts w:ascii="Times New Roman" w:hAnsi="Times New Roman" w:cs="Times New Roman"/>
          <w:sz w:val="24"/>
          <w:szCs w:val="24"/>
          <w:lang w:val="de-AT"/>
        </w:rPr>
        <w:t>n</w:t>
      </w:r>
      <w:r w:rsidRPr="002117B6">
        <w:rPr>
          <w:rFonts w:ascii="Times New Roman" w:hAnsi="Times New Roman" w:cs="Times New Roman"/>
          <w:sz w:val="24"/>
          <w:szCs w:val="24"/>
          <w:lang w:val="de-AT"/>
        </w:rPr>
        <w:t xml:space="preserve"> Ungarn </w:t>
      </w:r>
      <w:r>
        <w:rPr>
          <w:rFonts w:ascii="Times New Roman" w:hAnsi="Times New Roman" w:cs="Times New Roman"/>
          <w:sz w:val="24"/>
          <w:szCs w:val="24"/>
          <w:lang w:val="de-AT"/>
        </w:rPr>
        <w:t>seit</w:t>
      </w:r>
      <w:r w:rsidRPr="002117B6">
        <w:rPr>
          <w:rFonts w:ascii="Times New Roman" w:hAnsi="Times New Roman" w:cs="Times New Roman"/>
          <w:sz w:val="24"/>
          <w:szCs w:val="24"/>
          <w:lang w:val="de-AT"/>
        </w:rPr>
        <w:t xml:space="preserve"> im Jahr 2015 </w:t>
      </w:r>
      <w:r>
        <w:rPr>
          <w:rFonts w:ascii="Times New Roman" w:hAnsi="Times New Roman" w:cs="Times New Roman"/>
          <w:sz w:val="24"/>
          <w:szCs w:val="24"/>
          <w:lang w:val="de-AT"/>
        </w:rPr>
        <w:t xml:space="preserve">den </w:t>
      </w:r>
      <w:r w:rsidRPr="002117B6">
        <w:rPr>
          <w:rFonts w:ascii="Times New Roman" w:hAnsi="Times New Roman" w:cs="Times New Roman"/>
          <w:sz w:val="24"/>
          <w:szCs w:val="24"/>
          <w:lang w:val="de-AT"/>
        </w:rPr>
        <w:t>Zweifel an der</w:t>
      </w:r>
      <w:r>
        <w:rPr>
          <w:rFonts w:ascii="Times New Roman" w:hAnsi="Times New Roman" w:cs="Times New Roman"/>
          <w:sz w:val="24"/>
          <w:szCs w:val="24"/>
          <w:lang w:val="de-AT"/>
        </w:rPr>
        <w:t xml:space="preserve"> </w:t>
      </w:r>
      <w:r w:rsidRPr="002117B6">
        <w:rPr>
          <w:rFonts w:ascii="Times New Roman" w:hAnsi="Times New Roman" w:cs="Times New Roman"/>
          <w:sz w:val="24"/>
          <w:szCs w:val="24"/>
          <w:lang w:val="de-AT"/>
        </w:rPr>
        <w:t>Vereinbarkeit der ungarischen Regelung für den Asylbereich mit dem Unionsre</w:t>
      </w:r>
      <w:r>
        <w:rPr>
          <w:rFonts w:ascii="Times New Roman" w:hAnsi="Times New Roman" w:cs="Times New Roman"/>
          <w:sz w:val="24"/>
          <w:szCs w:val="24"/>
          <w:lang w:val="de-AT"/>
        </w:rPr>
        <w:t xml:space="preserve">cht </w:t>
      </w:r>
      <w:r w:rsidRPr="002117B6">
        <w:rPr>
          <w:rFonts w:ascii="Times New Roman" w:hAnsi="Times New Roman" w:cs="Times New Roman"/>
          <w:sz w:val="24"/>
          <w:szCs w:val="24"/>
          <w:lang w:val="de-AT"/>
        </w:rPr>
        <w:t>mitgeteilt</w:t>
      </w:r>
      <w:r>
        <w:rPr>
          <w:rFonts w:ascii="Times New Roman" w:hAnsi="Times New Roman" w:cs="Times New Roman"/>
          <w:sz w:val="24"/>
          <w:szCs w:val="24"/>
          <w:lang w:val="de-AT"/>
        </w:rPr>
        <w:t>.</w:t>
      </w:r>
      <w:r w:rsidR="00E8048A">
        <w:rPr>
          <w:rFonts w:ascii="Times New Roman" w:hAnsi="Times New Roman" w:cs="Times New Roman"/>
          <w:sz w:val="24"/>
          <w:szCs w:val="24"/>
          <w:lang w:val="de-AT"/>
        </w:rPr>
        <w:t xml:space="preserve"> D</w:t>
      </w:r>
      <w:r w:rsidR="00E8048A" w:rsidRPr="00E8048A">
        <w:rPr>
          <w:rFonts w:ascii="Times New Roman" w:hAnsi="Times New Roman" w:cs="Times New Roman"/>
          <w:sz w:val="24"/>
          <w:szCs w:val="24"/>
          <w:lang w:val="de-AT"/>
        </w:rPr>
        <w:t xml:space="preserve">er </w:t>
      </w:r>
      <w:r w:rsidR="00E8048A">
        <w:rPr>
          <w:rFonts w:ascii="Times New Roman" w:hAnsi="Times New Roman" w:cs="Times New Roman"/>
          <w:sz w:val="24"/>
          <w:szCs w:val="24"/>
          <w:lang w:val="de-AT"/>
        </w:rPr>
        <w:t>Europäischer Gerichtshof (</w:t>
      </w:r>
      <w:r w:rsidR="00E8048A" w:rsidRPr="00E8048A">
        <w:rPr>
          <w:rFonts w:ascii="Times New Roman" w:hAnsi="Times New Roman" w:cs="Times New Roman"/>
          <w:sz w:val="24"/>
          <w:szCs w:val="24"/>
          <w:lang w:val="de-AT"/>
        </w:rPr>
        <w:t>EuGH</w:t>
      </w:r>
      <w:r w:rsidR="00E8048A">
        <w:rPr>
          <w:rFonts w:ascii="Times New Roman" w:hAnsi="Times New Roman" w:cs="Times New Roman"/>
          <w:sz w:val="24"/>
          <w:szCs w:val="24"/>
          <w:lang w:val="de-AT"/>
        </w:rPr>
        <w:t>)</w:t>
      </w:r>
      <w:r w:rsidR="00E8048A" w:rsidRPr="00E8048A">
        <w:rPr>
          <w:rFonts w:ascii="Times New Roman" w:hAnsi="Times New Roman" w:cs="Times New Roman"/>
          <w:sz w:val="24"/>
          <w:szCs w:val="24"/>
          <w:lang w:val="de-AT"/>
        </w:rPr>
        <w:t xml:space="preserve"> in seinem Urteil vom 17. Dezember 2020 entschieden hat</w:t>
      </w:r>
      <w:r w:rsidR="00E8048A">
        <w:rPr>
          <w:rStyle w:val="Funotenzeichen"/>
          <w:rFonts w:ascii="Times New Roman" w:hAnsi="Times New Roman" w:cs="Times New Roman"/>
          <w:sz w:val="24"/>
          <w:szCs w:val="24"/>
          <w:lang w:val="de-AT"/>
        </w:rPr>
        <w:footnoteReference w:id="13"/>
      </w:r>
      <w:r w:rsidR="00E8048A" w:rsidRPr="00E8048A">
        <w:rPr>
          <w:rFonts w:ascii="Times New Roman" w:hAnsi="Times New Roman" w:cs="Times New Roman"/>
          <w:sz w:val="24"/>
          <w:szCs w:val="24"/>
          <w:lang w:val="de-AT"/>
        </w:rPr>
        <w:t xml:space="preserve">, dass Ungarn gegen seine </w:t>
      </w:r>
      <w:r w:rsidR="00E8048A">
        <w:rPr>
          <w:rFonts w:ascii="Times New Roman" w:hAnsi="Times New Roman" w:cs="Times New Roman"/>
          <w:sz w:val="24"/>
          <w:szCs w:val="24"/>
          <w:lang w:val="de-AT"/>
        </w:rPr>
        <w:t xml:space="preserve">europäische </w:t>
      </w:r>
      <w:r w:rsidR="00E8048A" w:rsidRPr="00E8048A">
        <w:rPr>
          <w:rFonts w:ascii="Times New Roman" w:hAnsi="Times New Roman" w:cs="Times New Roman"/>
          <w:sz w:val="24"/>
          <w:szCs w:val="24"/>
          <w:lang w:val="de-AT"/>
        </w:rPr>
        <w:t xml:space="preserve">Verpflichtungen verstoßen hat, da: i) vorgesehen ist, dass Anträge von Drittstaatsangehörigen oder Staatenlosen auf internationalen Schutz nur in den Transitzonen </w:t>
      </w:r>
      <w:r w:rsidR="00E8048A" w:rsidRPr="002117B6">
        <w:rPr>
          <w:rFonts w:ascii="Times New Roman" w:hAnsi="Times New Roman" w:cs="Times New Roman"/>
          <w:sz w:val="24"/>
          <w:szCs w:val="24"/>
          <w:lang w:val="de-AT"/>
        </w:rPr>
        <w:t xml:space="preserve">an der serbisch-ungarischen Grenze </w:t>
      </w:r>
      <w:r w:rsidR="00E8048A" w:rsidRPr="00E8048A">
        <w:rPr>
          <w:rFonts w:ascii="Times New Roman" w:hAnsi="Times New Roman" w:cs="Times New Roman"/>
          <w:sz w:val="24"/>
          <w:szCs w:val="24"/>
          <w:lang w:val="de-AT"/>
        </w:rPr>
        <w:t>gestellt werden dürfen, und gleichzeitig die Zahl der Antragsteller, die täglich in diese Transitzonen einreisen dürfen, drastisch begrenzt wurde; ii) ein System der systematischen Internierung von Personen, die internationalen Schutz beantragt haben, in den Transitzonen eingerichtet wurde; iii) die Abschiebung aller illegal in seinem Hoheitsgebiet aufhältigen Drittstaatsangehörigen ermöglicht wurde, ohne dass dabei die im Besitzstand festgelegten Verfahren und Garantien Anwendung finden; und iv) die Ausübung des Rechts der Personen, die internationalen Schutz beantragt haben, auf Verbleib im ungarischen Hoheitsgebiet von Voraussetzungen abhängig gemacht wurde, die gegen EU-Recht verstoßen</w:t>
      </w:r>
      <w:r w:rsidR="00E8048A">
        <w:rPr>
          <w:rFonts w:ascii="Times New Roman" w:hAnsi="Times New Roman" w:cs="Times New Roman"/>
          <w:sz w:val="24"/>
          <w:szCs w:val="24"/>
          <w:lang w:val="de-AT"/>
        </w:rPr>
        <w:t>.</w:t>
      </w:r>
      <w:r w:rsidR="00E8048A">
        <w:rPr>
          <w:rStyle w:val="Funotenzeichen"/>
          <w:rFonts w:ascii="Times New Roman" w:hAnsi="Times New Roman" w:cs="Times New Roman"/>
          <w:sz w:val="24"/>
          <w:szCs w:val="24"/>
          <w:lang w:val="de-AT"/>
        </w:rPr>
        <w:footnoteReference w:id="14"/>
      </w:r>
    </w:p>
    <w:p w14:paraId="4558DA44" w14:textId="34D75E0B" w:rsidR="00505732" w:rsidRDefault="00505732" w:rsidP="00505732">
      <w:pPr>
        <w:jc w:val="both"/>
        <w:rPr>
          <w:rFonts w:ascii="Times New Roman" w:hAnsi="Times New Roman" w:cs="Times New Roman"/>
          <w:sz w:val="24"/>
          <w:szCs w:val="24"/>
          <w:lang w:val="de-AT"/>
        </w:rPr>
      </w:pPr>
      <w:r w:rsidRPr="00505732">
        <w:rPr>
          <w:rFonts w:ascii="Times New Roman" w:hAnsi="Times New Roman" w:cs="Times New Roman"/>
          <w:sz w:val="24"/>
          <w:szCs w:val="24"/>
          <w:lang w:val="de-AT"/>
        </w:rPr>
        <w:t>Die Europäische Kommission war der Ansicht, dass Ungarn dem Urteil von 2020 noch immer nicht nachgekommen</w:t>
      </w:r>
      <w:r>
        <w:rPr>
          <w:rFonts w:ascii="Times New Roman" w:hAnsi="Times New Roman" w:cs="Times New Roman"/>
          <w:sz w:val="24"/>
          <w:szCs w:val="24"/>
          <w:lang w:val="de-AT"/>
        </w:rPr>
        <w:t xml:space="preserve"> </w:t>
      </w:r>
      <w:r w:rsidRPr="00505732">
        <w:rPr>
          <w:rFonts w:ascii="Times New Roman" w:hAnsi="Times New Roman" w:cs="Times New Roman"/>
          <w:sz w:val="24"/>
          <w:szCs w:val="24"/>
          <w:lang w:val="de-AT"/>
        </w:rPr>
        <w:t>sei (außer in Bezug auf die Transitzonen, die es bereits vor der Verkündung dieses Urteils geschlossen hatte), und</w:t>
      </w:r>
      <w:r>
        <w:rPr>
          <w:rFonts w:ascii="Times New Roman" w:hAnsi="Times New Roman" w:cs="Times New Roman"/>
          <w:sz w:val="24"/>
          <w:szCs w:val="24"/>
          <w:lang w:val="de-AT"/>
        </w:rPr>
        <w:t xml:space="preserve"> </w:t>
      </w:r>
      <w:r w:rsidRPr="00505732">
        <w:rPr>
          <w:rFonts w:ascii="Times New Roman" w:hAnsi="Times New Roman" w:cs="Times New Roman"/>
          <w:sz w:val="24"/>
          <w:szCs w:val="24"/>
          <w:lang w:val="de-AT"/>
        </w:rPr>
        <w:t>hat deshalb eine neue Vertragsverletzungsklage im Hinblick auf die Verhängung finanzieller Sanktionen erhoben.</w:t>
      </w:r>
      <w:r>
        <w:rPr>
          <w:rFonts w:ascii="Times New Roman" w:hAnsi="Times New Roman" w:cs="Times New Roman"/>
          <w:sz w:val="24"/>
          <w:szCs w:val="24"/>
          <w:lang w:val="de-AT"/>
        </w:rPr>
        <w:t xml:space="preserve"> </w:t>
      </w:r>
      <w:r w:rsidRPr="00505732">
        <w:rPr>
          <w:rFonts w:ascii="Times New Roman" w:hAnsi="Times New Roman" w:cs="Times New Roman"/>
          <w:sz w:val="24"/>
          <w:szCs w:val="24"/>
          <w:lang w:val="de-AT"/>
        </w:rPr>
        <w:t>In seinem Urteil stellt</w:t>
      </w:r>
      <w:r w:rsidR="003F111C">
        <w:rPr>
          <w:rFonts w:ascii="Times New Roman" w:hAnsi="Times New Roman" w:cs="Times New Roman"/>
          <w:sz w:val="24"/>
          <w:szCs w:val="24"/>
          <w:lang w:val="de-AT"/>
        </w:rPr>
        <w:t>e</w:t>
      </w:r>
      <w:r w:rsidRPr="00505732">
        <w:rPr>
          <w:rFonts w:ascii="Times New Roman" w:hAnsi="Times New Roman" w:cs="Times New Roman"/>
          <w:sz w:val="24"/>
          <w:szCs w:val="24"/>
          <w:lang w:val="de-AT"/>
        </w:rPr>
        <w:t xml:space="preserve"> der </w:t>
      </w:r>
      <w:r>
        <w:rPr>
          <w:rFonts w:ascii="Times New Roman" w:hAnsi="Times New Roman" w:cs="Times New Roman"/>
          <w:sz w:val="24"/>
          <w:szCs w:val="24"/>
          <w:lang w:val="de-AT"/>
        </w:rPr>
        <w:t>EuGH</w:t>
      </w:r>
      <w:r w:rsidRPr="00505732">
        <w:rPr>
          <w:rFonts w:ascii="Times New Roman" w:hAnsi="Times New Roman" w:cs="Times New Roman"/>
          <w:sz w:val="24"/>
          <w:szCs w:val="24"/>
          <w:lang w:val="de-AT"/>
        </w:rPr>
        <w:t xml:space="preserve"> fest, dass Ungarn nicht die Maßnahmen ergriffen hat, die zur</w:t>
      </w:r>
      <w:r>
        <w:rPr>
          <w:rFonts w:ascii="Times New Roman" w:hAnsi="Times New Roman" w:cs="Times New Roman"/>
          <w:sz w:val="24"/>
          <w:szCs w:val="24"/>
          <w:lang w:val="de-AT"/>
        </w:rPr>
        <w:t xml:space="preserve"> </w:t>
      </w:r>
      <w:r w:rsidRPr="00505732">
        <w:rPr>
          <w:rFonts w:ascii="Times New Roman" w:hAnsi="Times New Roman" w:cs="Times New Roman"/>
          <w:sz w:val="24"/>
          <w:szCs w:val="24"/>
          <w:lang w:val="de-AT"/>
        </w:rPr>
        <w:t>Durchführung des Urteils von 2020 erforderlich sind</w:t>
      </w:r>
      <w:r>
        <w:rPr>
          <w:rFonts w:ascii="Times New Roman" w:hAnsi="Times New Roman" w:cs="Times New Roman"/>
          <w:sz w:val="24"/>
          <w:szCs w:val="24"/>
          <w:lang w:val="de-AT"/>
        </w:rPr>
        <w:t>. Weiterhin</w:t>
      </w:r>
      <w:r w:rsidRPr="00505732">
        <w:rPr>
          <w:rFonts w:ascii="Times New Roman" w:hAnsi="Times New Roman" w:cs="Times New Roman"/>
          <w:sz w:val="24"/>
          <w:szCs w:val="24"/>
          <w:lang w:val="de-AT"/>
        </w:rPr>
        <w:t>,</w:t>
      </w:r>
      <w:r>
        <w:rPr>
          <w:rFonts w:ascii="Times New Roman" w:hAnsi="Times New Roman" w:cs="Times New Roman"/>
          <w:sz w:val="24"/>
          <w:szCs w:val="24"/>
          <w:lang w:val="de-AT"/>
        </w:rPr>
        <w:t xml:space="preserve"> </w:t>
      </w:r>
      <w:r w:rsidRPr="00505732">
        <w:rPr>
          <w:rFonts w:ascii="Times New Roman" w:hAnsi="Times New Roman" w:cs="Times New Roman"/>
          <w:sz w:val="24"/>
          <w:szCs w:val="24"/>
          <w:lang w:val="de-AT"/>
        </w:rPr>
        <w:t xml:space="preserve">diese Vertragsverletzung eine </w:t>
      </w:r>
      <w:r w:rsidRPr="00505732">
        <w:rPr>
          <w:rFonts w:ascii="Times New Roman" w:hAnsi="Times New Roman" w:cs="Times New Roman"/>
          <w:sz w:val="24"/>
          <w:szCs w:val="24"/>
          <w:lang w:val="de-AT"/>
        </w:rPr>
        <w:lastRenderedPageBreak/>
        <w:t>ganz neue und außergewöhnlich schwere Verletzung des Unionsrechts</w:t>
      </w:r>
      <w:r>
        <w:rPr>
          <w:rFonts w:ascii="Times New Roman" w:hAnsi="Times New Roman" w:cs="Times New Roman"/>
          <w:sz w:val="24"/>
          <w:szCs w:val="24"/>
          <w:lang w:val="de-AT"/>
        </w:rPr>
        <w:t xml:space="preserve"> </w:t>
      </w:r>
      <w:r w:rsidRPr="00505732">
        <w:rPr>
          <w:rFonts w:ascii="Times New Roman" w:hAnsi="Times New Roman" w:cs="Times New Roman"/>
          <w:sz w:val="24"/>
          <w:szCs w:val="24"/>
          <w:lang w:val="de-AT"/>
        </w:rPr>
        <w:t>darstellt, verurteilt der Gerichtshof Ungarn zur Zahlung eines Pauschalbetrags von 200 Mio. Euro und eines</w:t>
      </w:r>
      <w:r>
        <w:rPr>
          <w:rFonts w:ascii="Times New Roman" w:hAnsi="Times New Roman" w:cs="Times New Roman"/>
          <w:sz w:val="24"/>
          <w:szCs w:val="24"/>
          <w:lang w:val="de-AT"/>
        </w:rPr>
        <w:t xml:space="preserve"> </w:t>
      </w:r>
      <w:r w:rsidRPr="00505732">
        <w:rPr>
          <w:rFonts w:ascii="Times New Roman" w:hAnsi="Times New Roman" w:cs="Times New Roman"/>
          <w:sz w:val="24"/>
          <w:szCs w:val="24"/>
          <w:lang w:val="de-AT"/>
        </w:rPr>
        <w:t>Zwangsgelds von 1 Mio. Euro für jeden Tag des Verzugs</w:t>
      </w:r>
      <w:r>
        <w:rPr>
          <w:rFonts w:ascii="Times New Roman" w:hAnsi="Times New Roman" w:cs="Times New Roman"/>
          <w:sz w:val="24"/>
          <w:szCs w:val="24"/>
          <w:lang w:val="de-AT"/>
        </w:rPr>
        <w:t>.</w:t>
      </w:r>
      <w:r>
        <w:rPr>
          <w:rStyle w:val="Funotenzeichen"/>
          <w:rFonts w:ascii="Times New Roman" w:hAnsi="Times New Roman" w:cs="Times New Roman"/>
          <w:sz w:val="24"/>
          <w:szCs w:val="24"/>
          <w:lang w:val="de-AT"/>
        </w:rPr>
        <w:footnoteReference w:id="15"/>
      </w:r>
    </w:p>
    <w:p w14:paraId="63F094FA" w14:textId="7221405D" w:rsidR="00665DE6" w:rsidRPr="003F111C" w:rsidRDefault="003F111C" w:rsidP="003F111C">
      <w:pPr>
        <w:jc w:val="both"/>
        <w:rPr>
          <w:rFonts w:ascii="Times New Roman" w:hAnsi="Times New Roman" w:cs="Times New Roman"/>
          <w:sz w:val="24"/>
          <w:szCs w:val="24"/>
          <w:lang w:val="de-AT"/>
        </w:rPr>
      </w:pPr>
      <w:r w:rsidRPr="003F111C">
        <w:rPr>
          <w:rFonts w:ascii="Times New Roman" w:hAnsi="Times New Roman" w:cs="Times New Roman"/>
          <w:sz w:val="24"/>
          <w:szCs w:val="24"/>
          <w:lang w:val="de-AT"/>
        </w:rPr>
        <w:t>In einem anderen Urteil hat der EuGH entschieden, dass Ungarn gegen seine Verpflichtungen aus dem Unionsrecht verstoßen hat, indem es für bestimmte Drittstaatsangehörige oder Staatenlose, die sich in seinem Hoheitsgebiet oder an seinen Grenzen befinden, die Möglichkeit, einen Antrag auf internationalen Schutz zu stellen, von der vorherigen Abgabe einer Absichtserklärung bei einer ungarischen Botschaft in einem Drittstaat und von der Erteilung eines Reisedokuments für die Einreise in das ungarische Hoheitsgebiet abhängig gemacht hat.</w:t>
      </w:r>
      <w:r w:rsidR="002F0BD4">
        <w:rPr>
          <w:rStyle w:val="Funotenzeichen"/>
          <w:rFonts w:ascii="Times New Roman" w:hAnsi="Times New Roman" w:cs="Times New Roman"/>
          <w:sz w:val="24"/>
          <w:szCs w:val="24"/>
          <w:lang w:val="de-AT"/>
        </w:rPr>
        <w:footnoteReference w:id="16"/>
      </w:r>
    </w:p>
    <w:p w14:paraId="2E480697" w14:textId="4DD6AA9A" w:rsidR="00C60B9D" w:rsidRPr="00986845" w:rsidRDefault="00986845" w:rsidP="00986845">
      <w:pPr>
        <w:spacing w:after="0"/>
        <w:jc w:val="both"/>
        <w:rPr>
          <w:rFonts w:ascii="Times New Roman" w:hAnsi="Times New Roman" w:cs="Times New Roman"/>
          <w:sz w:val="24"/>
          <w:szCs w:val="24"/>
          <w:lang w:val="de-AT"/>
        </w:rPr>
      </w:pPr>
      <w:r w:rsidRPr="00986845">
        <w:rPr>
          <w:rFonts w:ascii="Times New Roman" w:hAnsi="Times New Roman" w:cs="Times New Roman"/>
          <w:sz w:val="24"/>
          <w:szCs w:val="24"/>
          <w:lang w:val="de-AT"/>
        </w:rPr>
        <w:t>Die Menschenrechtskommissarin des Europarats in ihren an das Ministerkomitee des Europarats gerichteten Ausführungen vom 12. August 2022 darauf hingewiesen hat, dass der Zugang zu Asylverfahren und zu einer substanziellen und individuellen Risikobewertung in Ungarn aufgrund der aufeinanderfolgenden und sich überschneidenden Maßnahmen, die von der Regierung seit 2015 ergriffen wurden, de facto unmöglich geworden ist</w:t>
      </w:r>
      <w:r>
        <w:rPr>
          <w:rFonts w:ascii="Times New Roman" w:hAnsi="Times New Roman" w:cs="Times New Roman"/>
          <w:sz w:val="24"/>
          <w:szCs w:val="24"/>
          <w:lang w:val="de-AT"/>
        </w:rPr>
        <w:t>. Weiterhin</w:t>
      </w:r>
      <w:r w:rsidRPr="00986845">
        <w:rPr>
          <w:rFonts w:ascii="Times New Roman" w:hAnsi="Times New Roman" w:cs="Times New Roman"/>
          <w:sz w:val="24"/>
          <w:szCs w:val="24"/>
          <w:lang w:val="de-AT"/>
        </w:rPr>
        <w:t xml:space="preserve"> dieser schrittweise Abbau des Asylsystems kontinuierlich von einem harten migrationsfeindlichen Diskurs der ungarischen Regierung begleitet und angeheizt worden ist, wodurch die Aufnahme und der Schutz von Flüchtlingen und Asylsuchenden in dem Land weiter untergraben werden</w:t>
      </w:r>
      <w:r>
        <w:rPr>
          <w:rFonts w:ascii="Times New Roman" w:hAnsi="Times New Roman" w:cs="Times New Roman"/>
          <w:sz w:val="24"/>
          <w:szCs w:val="24"/>
          <w:lang w:val="de-AT"/>
        </w:rPr>
        <w:t>.</w:t>
      </w:r>
      <w:r w:rsidR="00F45E42">
        <w:rPr>
          <w:rStyle w:val="Funotenzeichen"/>
          <w:rFonts w:ascii="Times New Roman" w:hAnsi="Times New Roman" w:cs="Times New Roman"/>
          <w:sz w:val="24"/>
          <w:szCs w:val="24"/>
          <w:lang w:val="de-AT"/>
        </w:rPr>
        <w:footnoteReference w:id="17"/>
      </w:r>
    </w:p>
    <w:p w14:paraId="61923CFA" w14:textId="77777777" w:rsidR="003D1E78" w:rsidRDefault="003D1E78">
      <w:pPr>
        <w:jc w:val="both"/>
        <w:rPr>
          <w:lang w:val="de-AT"/>
        </w:rPr>
      </w:pPr>
    </w:p>
    <w:p w14:paraId="4D5AE3D1" w14:textId="07CE6EEF" w:rsidR="005477ED" w:rsidRDefault="005477ED">
      <w:pPr>
        <w:jc w:val="both"/>
        <w:rPr>
          <w:rFonts w:ascii="Times New Roman" w:hAnsi="Times New Roman" w:cs="Times New Roman"/>
          <w:sz w:val="24"/>
          <w:szCs w:val="24"/>
          <w:lang w:val="de-AT"/>
        </w:rPr>
      </w:pPr>
      <w:r w:rsidRPr="005477ED">
        <w:rPr>
          <w:rFonts w:ascii="Times New Roman" w:hAnsi="Times New Roman" w:cs="Times New Roman"/>
          <w:sz w:val="24"/>
          <w:szCs w:val="24"/>
          <w:lang w:val="de-AT"/>
        </w:rPr>
        <w:t>In der ungarischen Literatur der letzten Jahre hat die Flüchtlingsliteratur, die sich mit der Flüchtlingskrise von 2015 und der seitdem andauernden Krise befasst, noch wenig Raum eingenommen. In den Texten erscheint die Figur des Flüchtlings vor allem in der Rolle des Fremden, des Anderen. Der Leser nimmt lediglich wahr, wie die Figuren die Flüchtlinge sehen und beschreiben.</w:t>
      </w:r>
    </w:p>
    <w:p w14:paraId="0B5C34DB" w14:textId="77777777" w:rsidR="005477ED" w:rsidRPr="005477ED" w:rsidRDefault="005477ED">
      <w:pPr>
        <w:jc w:val="both"/>
        <w:rPr>
          <w:rFonts w:ascii="Times New Roman" w:hAnsi="Times New Roman" w:cs="Times New Roman"/>
          <w:sz w:val="24"/>
          <w:szCs w:val="24"/>
          <w:lang w:val="de-AT"/>
        </w:rPr>
      </w:pPr>
    </w:p>
    <w:p w14:paraId="4BA7A517" w14:textId="6645274D" w:rsidR="00A103AE" w:rsidRPr="00D63651" w:rsidRDefault="00A103AE">
      <w:pPr>
        <w:jc w:val="both"/>
        <w:rPr>
          <w:rFonts w:ascii="Times New Roman" w:hAnsi="Times New Roman" w:cs="Times New Roman"/>
          <w:b/>
          <w:bCs/>
          <w:sz w:val="24"/>
          <w:szCs w:val="24"/>
          <w:lang w:val="de-AT"/>
        </w:rPr>
      </w:pPr>
      <w:r w:rsidRPr="00D63651">
        <w:rPr>
          <w:rFonts w:ascii="Times New Roman" w:hAnsi="Times New Roman" w:cs="Times New Roman"/>
          <w:b/>
          <w:bCs/>
          <w:sz w:val="24"/>
          <w:szCs w:val="24"/>
          <w:lang w:val="de-AT"/>
        </w:rPr>
        <w:t>Fa</w:t>
      </w:r>
      <w:r w:rsidR="00D63651" w:rsidRPr="00D63651">
        <w:rPr>
          <w:rFonts w:ascii="Times New Roman" w:hAnsi="Times New Roman" w:cs="Times New Roman"/>
          <w:b/>
          <w:bCs/>
          <w:sz w:val="24"/>
          <w:szCs w:val="24"/>
          <w:lang w:val="de-AT"/>
        </w:rPr>
        <w:t>z</w:t>
      </w:r>
      <w:r w:rsidRPr="00D63651">
        <w:rPr>
          <w:rFonts w:ascii="Times New Roman" w:hAnsi="Times New Roman" w:cs="Times New Roman"/>
          <w:b/>
          <w:bCs/>
          <w:sz w:val="24"/>
          <w:szCs w:val="24"/>
          <w:lang w:val="de-AT"/>
        </w:rPr>
        <w:t>it</w:t>
      </w:r>
    </w:p>
    <w:p w14:paraId="074102B0" w14:textId="77777777" w:rsidR="0017641A" w:rsidRDefault="00A103AE">
      <w:pPr>
        <w:jc w:val="both"/>
        <w:rPr>
          <w:rFonts w:ascii="Times New Roman" w:hAnsi="Times New Roman" w:cs="Times New Roman"/>
          <w:sz w:val="24"/>
          <w:szCs w:val="24"/>
          <w:lang w:val="de-AT"/>
        </w:rPr>
      </w:pPr>
      <w:r w:rsidRPr="00A103AE">
        <w:rPr>
          <w:rFonts w:ascii="Times New Roman" w:hAnsi="Times New Roman" w:cs="Times New Roman"/>
          <w:sz w:val="24"/>
          <w:szCs w:val="24"/>
          <w:lang w:val="de-AT"/>
        </w:rPr>
        <w:t xml:space="preserve">„Unter der Regierung der Tisza-Partei wird es in Ungarn keine illegalen Migranten sein. Wer etwas anderes behauptet, lügt und täuscht auch seine eigenen Wähler“, schrieb Ministerpräsident Péter Magyar am </w:t>
      </w:r>
      <w:r>
        <w:rPr>
          <w:rFonts w:ascii="Times New Roman" w:hAnsi="Times New Roman" w:cs="Times New Roman"/>
          <w:sz w:val="24"/>
          <w:szCs w:val="24"/>
          <w:lang w:val="de-AT"/>
        </w:rPr>
        <w:t>7. Juni 2026</w:t>
      </w:r>
      <w:r w:rsidRPr="00A103AE">
        <w:rPr>
          <w:rFonts w:ascii="Times New Roman" w:hAnsi="Times New Roman" w:cs="Times New Roman"/>
          <w:sz w:val="24"/>
          <w:szCs w:val="24"/>
          <w:lang w:val="de-AT"/>
        </w:rPr>
        <w:t xml:space="preserve"> in einem entsprechenden Beitrag auf seiner Facebook-Seite. Magyar hat bereits mehrfach erklärt, dass man die illegale Einwanderung in unser Land weiterhin verhindern werde.</w:t>
      </w:r>
    </w:p>
    <w:p w14:paraId="1676487C" w14:textId="7934A206" w:rsidR="00A103AE" w:rsidRPr="00A103AE" w:rsidRDefault="0017641A">
      <w:pPr>
        <w:jc w:val="both"/>
        <w:rPr>
          <w:rFonts w:ascii="Times New Roman" w:hAnsi="Times New Roman" w:cs="Times New Roman"/>
          <w:sz w:val="24"/>
          <w:szCs w:val="24"/>
          <w:lang w:val="de-AT"/>
        </w:rPr>
      </w:pPr>
      <w:r w:rsidRPr="0017641A">
        <w:rPr>
          <w:rFonts w:ascii="Times New Roman" w:hAnsi="Times New Roman" w:cs="Times New Roman"/>
          <w:sz w:val="24"/>
          <w:szCs w:val="24"/>
          <w:lang w:val="de-AT"/>
        </w:rPr>
        <w:t xml:space="preserve">Es scheint, als würde die neu ins Amt getretene und mit hoffnungsvollen Erwartungen begleitete neue ungarische Regierung in der Flüchtlingsfrage keine andere Politik verfolgen wollen als während der Orbán-Ära. </w:t>
      </w:r>
      <w:r>
        <w:rPr>
          <w:rFonts w:ascii="Times New Roman" w:hAnsi="Times New Roman" w:cs="Times New Roman"/>
          <w:sz w:val="24"/>
          <w:szCs w:val="24"/>
          <w:lang w:val="de-AT"/>
        </w:rPr>
        <w:t xml:space="preserve"> </w:t>
      </w:r>
    </w:p>
    <w:p w14:paraId="508006A6" w14:textId="7D2AB8BD" w:rsidR="00C60B9D" w:rsidRPr="00A103AE" w:rsidRDefault="0017641A" w:rsidP="00393036">
      <w:pPr>
        <w:jc w:val="both"/>
        <w:rPr>
          <w:lang w:val="hu-HU"/>
        </w:rPr>
      </w:pPr>
      <w:r>
        <w:rPr>
          <w:rFonts w:ascii="Times New Roman" w:hAnsi="Times New Roman" w:cs="Times New Roman"/>
          <w:sz w:val="24"/>
          <w:szCs w:val="24"/>
          <w:lang w:val="de-AT"/>
        </w:rPr>
        <w:t xml:space="preserve">Zwischenzeitlich </w:t>
      </w:r>
      <w:r w:rsidR="00EE3897">
        <w:rPr>
          <w:rFonts w:ascii="Times New Roman" w:hAnsi="Times New Roman" w:cs="Times New Roman"/>
          <w:sz w:val="24"/>
          <w:szCs w:val="24"/>
          <w:lang w:val="de-AT"/>
        </w:rPr>
        <w:t xml:space="preserve">Jelineks Werk und dessen Theaterinszenierungen gelten als eklatantes Beispiel für eine kosmopolitischere Annäherung an das Thema der Situation der Flüchtlinge. </w:t>
      </w:r>
      <w:r w:rsidRPr="0017641A">
        <w:rPr>
          <w:rFonts w:ascii="Times New Roman" w:hAnsi="Times New Roman" w:cs="Times New Roman"/>
          <w:sz w:val="24"/>
          <w:szCs w:val="24"/>
          <w:lang w:val="de-AT"/>
        </w:rPr>
        <w:t>Die</w:t>
      </w:r>
      <w:r>
        <w:rPr>
          <w:rFonts w:ascii="Times New Roman" w:hAnsi="Times New Roman" w:cs="Times New Roman"/>
          <w:sz w:val="24"/>
          <w:szCs w:val="24"/>
          <w:lang w:val="de-AT"/>
        </w:rPr>
        <w:t xml:space="preserve"> Gedanken der</w:t>
      </w:r>
      <w:r w:rsidRPr="0017641A">
        <w:rPr>
          <w:rFonts w:ascii="Times New Roman" w:hAnsi="Times New Roman" w:cs="Times New Roman"/>
          <w:sz w:val="24"/>
          <w:szCs w:val="24"/>
          <w:lang w:val="de-AT"/>
        </w:rPr>
        <w:t xml:space="preserve"> Nobelpreisträgerin</w:t>
      </w:r>
      <w:r w:rsidR="00A103AE" w:rsidRPr="00A103AE">
        <w:rPr>
          <w:rFonts w:ascii="Times New Roman" w:hAnsi="Times New Roman" w:cs="Times New Roman"/>
          <w:sz w:val="24"/>
          <w:szCs w:val="24"/>
          <w:lang w:val="de-AT"/>
        </w:rPr>
        <w:t xml:space="preserve"> werden auch weiterhin dringend gebraucht werden.</w:t>
      </w:r>
    </w:p>
    <w:sectPr w:rsidR="00C60B9D" w:rsidRPr="00A103AE">
      <w:footerReference w:type="even" r:id="rId7"/>
      <w:footerReference w:type="default" r:id="rId8"/>
      <w:footerReference w:type="first" r:id="rId9"/>
      <w:pgSz w:w="11906" w:h="16838"/>
      <w:pgMar w:top="1440" w:right="1440" w:bottom="1440" w:left="1440" w:header="0" w:footer="70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97A895" w14:textId="77777777" w:rsidR="006D595A" w:rsidRDefault="006D595A">
      <w:pPr>
        <w:spacing w:after="0" w:line="240" w:lineRule="auto"/>
      </w:pPr>
      <w:r>
        <w:separator/>
      </w:r>
    </w:p>
  </w:endnote>
  <w:endnote w:type="continuationSeparator" w:id="0">
    <w:p w14:paraId="6DABEBD6" w14:textId="77777777" w:rsidR="006D595A" w:rsidRDefault="006D59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2F8D8" w14:textId="77777777" w:rsidR="00C60B9D" w:rsidRDefault="00C60B9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36032452"/>
      <w:docPartObj>
        <w:docPartGallery w:val="Page Numbers (Bottom of Page)"/>
        <w:docPartUnique/>
      </w:docPartObj>
    </w:sdtPr>
    <w:sdtContent>
      <w:p w14:paraId="18396678" w14:textId="77777777" w:rsidR="00C60B9D" w:rsidRDefault="00000000">
        <w:pPr>
          <w:pStyle w:val="Fuzeile"/>
          <w:jc w:val="right"/>
        </w:pPr>
        <w:r>
          <w:fldChar w:fldCharType="begin"/>
        </w:r>
        <w:r>
          <w:instrText xml:space="preserve"> PAGE </w:instrText>
        </w:r>
        <w:r>
          <w:fldChar w:fldCharType="separate"/>
        </w:r>
        <w:r>
          <w:t>2</w:t>
        </w:r>
        <w:r>
          <w:fldChar w:fldCharType="end"/>
        </w:r>
      </w:p>
    </w:sdtContent>
  </w:sdt>
  <w:p w14:paraId="6D1CD7D1" w14:textId="77777777" w:rsidR="00C60B9D" w:rsidRDefault="00C60B9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54374205"/>
      <w:docPartObj>
        <w:docPartGallery w:val="Page Numbers (Bottom of Page)"/>
        <w:docPartUnique/>
      </w:docPartObj>
    </w:sdtPr>
    <w:sdtContent>
      <w:p w14:paraId="6B9AF50C" w14:textId="77777777" w:rsidR="00C60B9D" w:rsidRDefault="00000000">
        <w:pPr>
          <w:pStyle w:val="Fuzeile"/>
          <w:jc w:val="right"/>
        </w:pPr>
        <w:r>
          <w:fldChar w:fldCharType="begin"/>
        </w:r>
        <w:r>
          <w:instrText xml:space="preserve"> PAGE </w:instrText>
        </w:r>
        <w:r>
          <w:fldChar w:fldCharType="separate"/>
        </w:r>
        <w:r>
          <w:t>2</w:t>
        </w:r>
        <w:r>
          <w:fldChar w:fldCharType="end"/>
        </w:r>
      </w:p>
    </w:sdtContent>
  </w:sdt>
  <w:p w14:paraId="32B7B536" w14:textId="77777777" w:rsidR="00C60B9D" w:rsidRDefault="00C60B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200D60" w14:textId="77777777" w:rsidR="006D595A" w:rsidRDefault="006D595A">
      <w:pPr>
        <w:rPr>
          <w:sz w:val="12"/>
        </w:rPr>
      </w:pPr>
      <w:r>
        <w:separator/>
      </w:r>
    </w:p>
  </w:footnote>
  <w:footnote w:type="continuationSeparator" w:id="0">
    <w:p w14:paraId="69DE7705" w14:textId="77777777" w:rsidR="006D595A" w:rsidRDefault="006D595A">
      <w:pPr>
        <w:rPr>
          <w:sz w:val="12"/>
        </w:rPr>
      </w:pPr>
      <w:r>
        <w:continuationSeparator/>
      </w:r>
    </w:p>
  </w:footnote>
  <w:footnote w:id="1">
    <w:p w14:paraId="018598A1" w14:textId="77777777" w:rsidR="006F6D93" w:rsidRPr="009D5267" w:rsidRDefault="006F6D93" w:rsidP="006F6D93">
      <w:pPr>
        <w:pStyle w:val="Funotentext"/>
        <w:jc w:val="both"/>
        <w:rPr>
          <w:rFonts w:ascii="Times New Roman" w:hAnsi="Times New Roman" w:cs="Times New Roman"/>
          <w:lang w:val="de-AT"/>
        </w:rPr>
      </w:pPr>
      <w:r>
        <w:rPr>
          <w:rStyle w:val="Funotenzeichen"/>
        </w:rPr>
        <w:footnoteRef/>
      </w:r>
      <w:r w:rsidRPr="009D5267">
        <w:rPr>
          <w:lang w:val="de-AT"/>
        </w:rPr>
        <w:t xml:space="preserve"> </w:t>
      </w:r>
      <w:r w:rsidRPr="009D5267">
        <w:rPr>
          <w:rFonts w:ascii="Times New Roman" w:hAnsi="Times New Roman" w:cs="Times New Roman"/>
          <w:lang w:val="de-AT"/>
        </w:rPr>
        <w:t>Das Zitat im Titel</w:t>
      </w:r>
      <w:r>
        <w:rPr>
          <w:rFonts w:ascii="Times New Roman" w:hAnsi="Times New Roman" w:cs="Times New Roman"/>
          <w:lang w:val="de-AT"/>
        </w:rPr>
        <w:t xml:space="preserve"> stammt vom ungarischen Dichter Attila József („</w:t>
      </w:r>
      <w:r w:rsidRPr="009D5267">
        <w:rPr>
          <w:rFonts w:ascii="Times New Roman" w:hAnsi="Times New Roman" w:cs="Times New Roman"/>
          <w:i/>
          <w:iCs/>
          <w:lang w:val="de-AT"/>
        </w:rPr>
        <w:t>Ode</w:t>
      </w:r>
      <w:r>
        <w:rPr>
          <w:rFonts w:ascii="Times New Roman" w:hAnsi="Times New Roman" w:cs="Times New Roman"/>
          <w:lang w:val="de-AT"/>
        </w:rPr>
        <w:t>“,1933)</w:t>
      </w:r>
    </w:p>
  </w:footnote>
  <w:footnote w:id="2">
    <w:p w14:paraId="7D3D188C" w14:textId="77777777" w:rsidR="006F6D93" w:rsidRPr="006A68FF" w:rsidRDefault="006F6D93" w:rsidP="006F6D93">
      <w:pPr>
        <w:pStyle w:val="Funotentext"/>
        <w:jc w:val="both"/>
        <w:rPr>
          <w:rFonts w:ascii="Times New Roman" w:hAnsi="Times New Roman" w:cs="Times New Roman"/>
        </w:rPr>
      </w:pPr>
      <w:r w:rsidRPr="006A68FF">
        <w:rPr>
          <w:rStyle w:val="Lbjegyzet-karakterek"/>
          <w:rFonts w:ascii="Times New Roman" w:hAnsi="Times New Roman" w:cs="Times New Roman"/>
        </w:rPr>
        <w:footnoteRef/>
      </w:r>
      <w:r w:rsidRPr="006A68FF">
        <w:rPr>
          <w:rFonts w:ascii="Times New Roman" w:hAnsi="Times New Roman" w:cs="Times New Roman"/>
        </w:rPr>
        <w:t xml:space="preserve"> </w:t>
      </w:r>
      <w:hyperlink r:id="rId1">
        <w:r w:rsidRPr="006A68FF">
          <w:rPr>
            <w:rStyle w:val="Hyperlink"/>
            <w:rFonts w:ascii="Times New Roman" w:hAnsi="Times New Roman" w:cs="Times New Roman"/>
          </w:rPr>
          <w:t>https://www.elfriedejelinek.com/die-schutzbefohlenen/</w:t>
        </w:r>
      </w:hyperlink>
      <w:r w:rsidRPr="006A68FF">
        <w:rPr>
          <w:rFonts w:ascii="Times New Roman" w:hAnsi="Times New Roman" w:cs="Times New Roman"/>
        </w:rPr>
        <w:t xml:space="preserve"> </w:t>
      </w:r>
    </w:p>
  </w:footnote>
  <w:footnote w:id="3">
    <w:p w14:paraId="2BE3BEAE" w14:textId="77777777" w:rsidR="006F6D93" w:rsidRDefault="006F6D93" w:rsidP="006F6D93">
      <w:pPr>
        <w:spacing w:line="240" w:lineRule="auto"/>
        <w:jc w:val="both"/>
        <w:rPr>
          <w:rFonts w:ascii="Georgia" w:hAnsi="Georgia"/>
          <w:color w:val="3A3A3A"/>
          <w:sz w:val="23"/>
          <w:szCs w:val="23"/>
        </w:rPr>
      </w:pPr>
      <w:r>
        <w:rPr>
          <w:rStyle w:val="Lbjegyzet-karakterek"/>
        </w:rPr>
        <w:footnoteRef/>
      </w:r>
      <w:r>
        <w:t xml:space="preserve"> </w:t>
      </w:r>
      <w:r>
        <w:rPr>
          <w:rFonts w:ascii="Times New Roman" w:hAnsi="Times New Roman" w:cs="Times New Roman"/>
          <w:sz w:val="20"/>
          <w:szCs w:val="20"/>
        </w:rPr>
        <w:t xml:space="preserve">McCrudden, Christopher: Legal research and the social sciences </w:t>
      </w:r>
      <w:proofErr w:type="gramStart"/>
      <w:r>
        <w:rPr>
          <w:rFonts w:ascii="Times New Roman" w:hAnsi="Times New Roman" w:cs="Times New Roman"/>
          <w:sz w:val="20"/>
          <w:szCs w:val="20"/>
        </w:rPr>
        <w:t>In</w:t>
      </w:r>
      <w:proofErr w:type="gramEnd"/>
      <w:r>
        <w:rPr>
          <w:rFonts w:ascii="Times New Roman" w:hAnsi="Times New Roman" w:cs="Times New Roman"/>
          <w:sz w:val="20"/>
          <w:szCs w:val="20"/>
        </w:rPr>
        <w:t xml:space="preserve">: The Law Quarterly Review.  122. Oct. (2006.) p.632-650.; The Oxford handbook of empirical legal research. Oxford; New York: Oxford University Press, 2012. xv, 1094 p. </w:t>
      </w:r>
      <w:hyperlink r:id="rId2" w:tgtFrame="_blank">
        <w:r>
          <w:rPr>
            <w:rFonts w:ascii="Times New Roman" w:hAnsi="Times New Roman" w:cs="Times New Roman"/>
            <w:sz w:val="20"/>
            <w:szCs w:val="20"/>
          </w:rPr>
          <w:t>Baron, Jane B.</w:t>
        </w:r>
      </w:hyperlink>
      <w:r>
        <w:rPr>
          <w:rFonts w:ascii="Times New Roman" w:hAnsi="Times New Roman" w:cs="Times New Roman"/>
          <w:sz w:val="20"/>
          <w:szCs w:val="20"/>
        </w:rPr>
        <w:t>: Law, Literature, and the Problems of Interdisciplinarity. Essay. In: Yale Law Journal , Vol. 108, Issue 5 (March 1999), pp. 1059-1086.</w:t>
      </w:r>
      <w:hyperlink r:id="rId3" w:tgtFrame="_blank">
        <w:r>
          <w:rPr>
            <w:rFonts w:ascii="Times New Roman" w:hAnsi="Times New Roman" w:cs="Times New Roman"/>
            <w:sz w:val="20"/>
            <w:szCs w:val="20"/>
          </w:rPr>
          <w:t>Vick, Douglas W.</w:t>
        </w:r>
      </w:hyperlink>
      <w:r>
        <w:rPr>
          <w:rFonts w:ascii="Times New Roman" w:hAnsi="Times New Roman" w:cs="Times New Roman"/>
          <w:sz w:val="20"/>
          <w:szCs w:val="20"/>
        </w:rPr>
        <w:t> :Interdisciplinary and the Discipline of Law. In: Journal of Law and Society, Vol. 31, Issue 2 (June 2004), pp. 163-193.</w:t>
      </w:r>
      <w:r>
        <w:rPr>
          <w:rFonts w:ascii="Georgia" w:hAnsi="Georgia"/>
        </w:rPr>
        <w:t xml:space="preserve"> </w:t>
      </w:r>
    </w:p>
    <w:p w14:paraId="5B16D5FA" w14:textId="77777777" w:rsidR="006F6D93" w:rsidRDefault="006F6D93" w:rsidP="006F6D93">
      <w:pPr>
        <w:pStyle w:val="Funotentext"/>
      </w:pPr>
    </w:p>
  </w:footnote>
  <w:footnote w:id="4">
    <w:p w14:paraId="2AFC18B8" w14:textId="309329C2" w:rsidR="009D5267" w:rsidRPr="009D5267" w:rsidRDefault="009D5267" w:rsidP="009D5267">
      <w:pPr>
        <w:pStyle w:val="Funotentext"/>
        <w:jc w:val="both"/>
        <w:rPr>
          <w:rFonts w:ascii="Times New Roman" w:hAnsi="Times New Roman" w:cs="Times New Roman"/>
          <w:lang w:val="de-AT"/>
        </w:rPr>
      </w:pPr>
      <w:r>
        <w:rPr>
          <w:rStyle w:val="Funotenzeichen"/>
        </w:rPr>
        <w:footnoteRef/>
      </w:r>
      <w:r w:rsidRPr="009D5267">
        <w:rPr>
          <w:lang w:val="de-AT"/>
        </w:rPr>
        <w:t xml:space="preserve"> </w:t>
      </w:r>
      <w:r w:rsidRPr="009D5267">
        <w:rPr>
          <w:rFonts w:ascii="Times New Roman" w:hAnsi="Times New Roman" w:cs="Times New Roman"/>
          <w:lang w:val="de-AT"/>
        </w:rPr>
        <w:t>Das Zitat im Titel</w:t>
      </w:r>
      <w:r>
        <w:rPr>
          <w:rFonts w:ascii="Times New Roman" w:hAnsi="Times New Roman" w:cs="Times New Roman"/>
          <w:lang w:val="de-AT"/>
        </w:rPr>
        <w:t xml:space="preserve"> stammt vom ungarischen Dichter Attila József („</w:t>
      </w:r>
      <w:r w:rsidRPr="009D5267">
        <w:rPr>
          <w:rFonts w:ascii="Times New Roman" w:hAnsi="Times New Roman" w:cs="Times New Roman"/>
          <w:i/>
          <w:iCs/>
          <w:lang w:val="de-AT"/>
        </w:rPr>
        <w:t>Ode</w:t>
      </w:r>
      <w:r>
        <w:rPr>
          <w:rFonts w:ascii="Times New Roman" w:hAnsi="Times New Roman" w:cs="Times New Roman"/>
          <w:lang w:val="de-AT"/>
        </w:rPr>
        <w:t>“,1933)</w:t>
      </w:r>
      <w:r w:rsidR="00412EF6">
        <w:rPr>
          <w:rFonts w:ascii="Times New Roman" w:hAnsi="Times New Roman" w:cs="Times New Roman"/>
          <w:lang w:val="de-AT"/>
        </w:rPr>
        <w:t>. Das</w:t>
      </w:r>
      <w:r w:rsidR="00412EF6" w:rsidRPr="00412EF6">
        <w:rPr>
          <w:rFonts w:ascii="Times New Roman" w:hAnsi="Times New Roman" w:cs="Times New Roman"/>
          <w:lang w:val="de-AT"/>
        </w:rPr>
        <w:t xml:space="preserve"> Projekt ist </w:t>
      </w:r>
      <w:r w:rsidR="00412EF6">
        <w:rPr>
          <w:rFonts w:ascii="Times New Roman" w:hAnsi="Times New Roman" w:cs="Times New Roman"/>
          <w:lang w:val="de-AT"/>
        </w:rPr>
        <w:t xml:space="preserve">ein Teil </w:t>
      </w:r>
      <w:r w:rsidR="00412EF6" w:rsidRPr="00412EF6">
        <w:rPr>
          <w:rFonts w:ascii="Times New Roman" w:hAnsi="Times New Roman" w:cs="Times New Roman"/>
          <w:lang w:val="de-AT"/>
        </w:rPr>
        <w:t>meines</w:t>
      </w:r>
      <w:r w:rsidR="00412EF6">
        <w:rPr>
          <w:rFonts w:ascii="Times New Roman" w:hAnsi="Times New Roman" w:cs="Times New Roman"/>
          <w:lang w:val="de-AT"/>
        </w:rPr>
        <w:t xml:space="preserve"> </w:t>
      </w:r>
      <w:r w:rsidR="00412EF6" w:rsidRPr="00412EF6">
        <w:rPr>
          <w:rFonts w:ascii="Times New Roman" w:hAnsi="Times New Roman" w:cs="Times New Roman"/>
          <w:lang w:val="de-AT"/>
        </w:rPr>
        <w:t>Promotionsverfahrens, in dessen Rahmen ich an der Fakultät für Staats- und Rechtswissenschaften der ELTE in Budapest an einer Dissertation mit dem Arbeitstitel:</w:t>
      </w:r>
      <w:r w:rsidR="00412EF6" w:rsidRPr="00412EF6">
        <w:rPr>
          <w:rFonts w:ascii="Times New Roman" w:hAnsi="Times New Roman" w:cs="Times New Roman"/>
          <w:i/>
          <w:iCs/>
          <w:lang w:val="de-AT"/>
        </w:rPr>
        <w:t xml:space="preserve"> „Intellekt – Genius. Die Vorgeschichte von Recht und Literatur in der ungarischen Rechtsphilosophie der Zwischenkriegszeit“</w:t>
      </w:r>
      <w:r w:rsidR="00412EF6" w:rsidRPr="00412EF6">
        <w:rPr>
          <w:rFonts w:ascii="Times New Roman" w:hAnsi="Times New Roman" w:cs="Times New Roman"/>
          <w:lang w:val="de-AT"/>
        </w:rPr>
        <w:t xml:space="preserve"> arbeite.</w:t>
      </w:r>
    </w:p>
  </w:footnote>
  <w:footnote w:id="5">
    <w:p w14:paraId="46B7C14B" w14:textId="67BBDA71" w:rsidR="00C60B9D" w:rsidRPr="001401AD" w:rsidRDefault="00000000" w:rsidP="001401AD">
      <w:pPr>
        <w:spacing w:after="0"/>
        <w:jc w:val="both"/>
        <w:rPr>
          <w:rFonts w:ascii="Times New Roman" w:hAnsi="Times New Roman" w:cs="Times New Roman"/>
          <w:sz w:val="20"/>
          <w:szCs w:val="20"/>
          <w:lang w:val="de-AT"/>
        </w:rPr>
      </w:pPr>
      <w:r w:rsidRPr="001401AD">
        <w:rPr>
          <w:rStyle w:val="Lbjegyzet-karakterek"/>
          <w:rFonts w:ascii="Times New Roman" w:hAnsi="Times New Roman" w:cs="Times New Roman"/>
          <w:sz w:val="20"/>
          <w:szCs w:val="20"/>
        </w:rPr>
        <w:footnoteRef/>
      </w:r>
      <w:r w:rsidRPr="001401AD">
        <w:rPr>
          <w:rFonts w:ascii="Times New Roman" w:hAnsi="Times New Roman" w:cs="Times New Roman"/>
          <w:sz w:val="20"/>
          <w:szCs w:val="20"/>
          <w:lang w:val="de-AT"/>
        </w:rPr>
        <w:t xml:space="preserve"> </w:t>
      </w:r>
      <w:r w:rsidR="001401AD" w:rsidRPr="001401AD">
        <w:rPr>
          <w:rFonts w:ascii="Times New Roman" w:hAnsi="Times New Roman" w:cs="Times New Roman"/>
          <w:sz w:val="20"/>
          <w:szCs w:val="20"/>
          <w:lang w:val="de-AT"/>
        </w:rPr>
        <w:t xml:space="preserve">Elfriede Jelinek: Die Schutzbefohlenen - Was danach geschah (2024)   </w:t>
      </w:r>
      <w:hyperlink r:id="rId4" w:history="1">
        <w:r w:rsidR="001401AD" w:rsidRPr="001401AD">
          <w:rPr>
            <w:rStyle w:val="Hyperlink"/>
            <w:rFonts w:ascii="Times New Roman" w:hAnsi="Times New Roman" w:cs="Times New Roman"/>
            <w:sz w:val="20"/>
            <w:szCs w:val="20"/>
            <w:lang w:val="de-AT"/>
          </w:rPr>
          <w:t>https://www.elfriedejelinek.com/die-schutzbefohlenen/</w:t>
        </w:r>
      </w:hyperlink>
      <w:r w:rsidRPr="001401AD">
        <w:rPr>
          <w:rFonts w:ascii="Times New Roman" w:hAnsi="Times New Roman" w:cs="Times New Roman"/>
          <w:sz w:val="20"/>
          <w:szCs w:val="20"/>
          <w:lang w:val="de-AT"/>
        </w:rPr>
        <w:t xml:space="preserve"> </w:t>
      </w:r>
      <w:r w:rsidR="001401AD" w:rsidRPr="001401AD">
        <w:rPr>
          <w:rFonts w:ascii="Times New Roman" w:hAnsi="Times New Roman" w:cs="Times New Roman"/>
          <w:sz w:val="20"/>
          <w:szCs w:val="20"/>
          <w:lang w:val="de-AT"/>
        </w:rPr>
        <w:t xml:space="preserve"> Vorabdruck: Theater heute, August/September 2024, Heft 8/9</w:t>
      </w:r>
    </w:p>
  </w:footnote>
  <w:footnote w:id="6">
    <w:p w14:paraId="30110CB4" w14:textId="27D12954" w:rsidR="00F9047F" w:rsidRPr="00F9047F" w:rsidRDefault="00F9047F" w:rsidP="00F9047F">
      <w:pPr>
        <w:pStyle w:val="Funotentext"/>
        <w:jc w:val="both"/>
        <w:rPr>
          <w:rFonts w:ascii="Times New Roman" w:hAnsi="Times New Roman" w:cs="Times New Roman"/>
        </w:rPr>
      </w:pPr>
      <w:r w:rsidRPr="00F9047F">
        <w:rPr>
          <w:rStyle w:val="Funotenzeichen"/>
          <w:rFonts w:ascii="Times New Roman" w:hAnsi="Times New Roman" w:cs="Times New Roman"/>
        </w:rPr>
        <w:footnoteRef/>
      </w:r>
      <w:r w:rsidRPr="00F9047F">
        <w:rPr>
          <w:rFonts w:ascii="Times New Roman" w:hAnsi="Times New Roman" w:cs="Times New Roman"/>
        </w:rPr>
        <w:t xml:space="preserve"> Steve Earle and Forro in the Dark, “</w:t>
      </w:r>
      <w:r w:rsidRPr="00DA1BAA">
        <w:rPr>
          <w:rFonts w:ascii="Times New Roman" w:hAnsi="Times New Roman" w:cs="Times New Roman"/>
          <w:i/>
          <w:iCs/>
        </w:rPr>
        <w:t>City of Immigrants</w:t>
      </w:r>
      <w:r w:rsidRPr="00F9047F">
        <w:rPr>
          <w:rFonts w:ascii="Times New Roman" w:hAnsi="Times New Roman" w:cs="Times New Roman"/>
        </w:rPr>
        <w:t xml:space="preserve">”, New West Records and Howe Sound Music Publishing: </w:t>
      </w:r>
      <w:hyperlink r:id="rId5" w:history="1">
        <w:r w:rsidRPr="00F9047F">
          <w:rPr>
            <w:rStyle w:val="Hyperlink"/>
            <w:rFonts w:ascii="Times New Roman" w:hAnsi="Times New Roman" w:cs="Times New Roman"/>
          </w:rPr>
          <w:t>https://youtu.be/BkRthP-A_ds?si=Sc7zd5BibOx4YiQr</w:t>
        </w:r>
      </w:hyperlink>
      <w:r w:rsidRPr="00F9047F">
        <w:rPr>
          <w:rFonts w:ascii="Times New Roman" w:hAnsi="Times New Roman" w:cs="Times New Roman"/>
        </w:rPr>
        <w:t xml:space="preserve"> </w:t>
      </w:r>
    </w:p>
  </w:footnote>
  <w:footnote w:id="7">
    <w:p w14:paraId="0248E1C4" w14:textId="3FB520F9" w:rsidR="006B0E7F" w:rsidRPr="00D37307" w:rsidRDefault="006B0E7F" w:rsidP="006B0E7F">
      <w:pPr>
        <w:pStyle w:val="Funotentext"/>
        <w:jc w:val="both"/>
        <w:rPr>
          <w:rFonts w:ascii="Times New Roman" w:hAnsi="Times New Roman" w:cs="Times New Roman"/>
          <w:lang w:val="de-AT"/>
        </w:rPr>
      </w:pPr>
      <w:r w:rsidRPr="006B0E7F">
        <w:rPr>
          <w:rStyle w:val="Funotenzeichen"/>
          <w:rFonts w:ascii="Times New Roman" w:hAnsi="Times New Roman" w:cs="Times New Roman"/>
        </w:rPr>
        <w:footnoteRef/>
      </w:r>
      <w:r w:rsidRPr="006B0E7F">
        <w:rPr>
          <w:rFonts w:ascii="Times New Roman" w:hAnsi="Times New Roman" w:cs="Times New Roman"/>
          <w:lang w:val="de-AT"/>
        </w:rPr>
        <w:t xml:space="preserve"> Irene Brickner, Gegen Chaos u</w:t>
      </w:r>
      <w:r>
        <w:rPr>
          <w:rFonts w:ascii="Times New Roman" w:hAnsi="Times New Roman" w:cs="Times New Roman"/>
          <w:lang w:val="de-AT"/>
        </w:rPr>
        <w:t xml:space="preserve">nd Gewalt, Der Standard 12 Juni 2026. </w:t>
      </w:r>
      <w:r w:rsidRPr="00D37307">
        <w:rPr>
          <w:rFonts w:ascii="Times New Roman" w:hAnsi="Times New Roman" w:cs="Times New Roman"/>
          <w:lang w:val="de-AT"/>
        </w:rPr>
        <w:t xml:space="preserve">28. </w:t>
      </w:r>
    </w:p>
  </w:footnote>
  <w:footnote w:id="8">
    <w:p w14:paraId="666FB4CF" w14:textId="153E38F4" w:rsidR="00762002" w:rsidRPr="003340D9" w:rsidRDefault="00762002" w:rsidP="00762002">
      <w:pPr>
        <w:pStyle w:val="Funotentext"/>
        <w:jc w:val="both"/>
        <w:rPr>
          <w:rFonts w:ascii="Times New Roman" w:hAnsi="Times New Roman" w:cs="Times New Roman"/>
          <w:lang w:val="de-AT"/>
        </w:rPr>
      </w:pPr>
      <w:r w:rsidRPr="00762002">
        <w:rPr>
          <w:rStyle w:val="Funotenzeichen"/>
          <w:rFonts w:ascii="Times New Roman" w:hAnsi="Times New Roman" w:cs="Times New Roman"/>
          <w:lang w:val="de-AT"/>
        </w:rPr>
        <w:footnoteRef/>
      </w:r>
      <w:r w:rsidRPr="009949D9">
        <w:rPr>
          <w:rFonts w:ascii="Times New Roman" w:hAnsi="Times New Roman" w:cs="Times New Roman"/>
          <w:lang w:val="de-AT"/>
        </w:rPr>
        <w:t xml:space="preserve"> </w:t>
      </w:r>
      <w:r w:rsidR="009949D9" w:rsidRPr="009949D9">
        <w:rPr>
          <w:rFonts w:ascii="Times New Roman" w:hAnsi="Times New Roman" w:cs="Times New Roman"/>
          <w:lang w:val="de-AT"/>
        </w:rPr>
        <w:t>In dem Text »Geheimplan gegen Deutschland« hatte Correctiv</w:t>
      </w:r>
      <w:r w:rsidR="009949D9">
        <w:rPr>
          <w:rFonts w:ascii="Times New Roman" w:hAnsi="Times New Roman" w:cs="Times New Roman"/>
          <w:lang w:val="de-AT"/>
        </w:rPr>
        <w:t xml:space="preserve">, ein </w:t>
      </w:r>
      <w:r w:rsidR="009949D9" w:rsidRPr="009949D9">
        <w:rPr>
          <w:rFonts w:ascii="Times New Roman" w:hAnsi="Times New Roman" w:cs="Times New Roman"/>
          <w:lang w:val="de-AT"/>
        </w:rPr>
        <w:t>investigative Recherchenetzwerk</w:t>
      </w:r>
      <w:r w:rsidR="009949D9">
        <w:rPr>
          <w:rFonts w:ascii="Times New Roman" w:hAnsi="Times New Roman" w:cs="Times New Roman"/>
          <w:lang w:val="de-AT"/>
        </w:rPr>
        <w:t>,</w:t>
      </w:r>
      <w:r w:rsidR="009949D9" w:rsidRPr="009949D9">
        <w:rPr>
          <w:rFonts w:ascii="Times New Roman" w:hAnsi="Times New Roman" w:cs="Times New Roman"/>
          <w:lang w:val="de-AT"/>
        </w:rPr>
        <w:t xml:space="preserve"> im Januar 2024 über ein Treffen von Rechten und Rechtsextremen in einem Hotel bei Potsdam im November 2023 berichtet. </w:t>
      </w:r>
      <w:hyperlink r:id="rId6" w:history="1">
        <w:r w:rsidR="009949D9" w:rsidRPr="003340D9">
          <w:rPr>
            <w:rStyle w:val="Hyperlink"/>
            <w:rFonts w:ascii="Times New Roman" w:hAnsi="Times New Roman" w:cs="Times New Roman"/>
            <w:lang w:val="de-AT"/>
          </w:rPr>
          <w:t>https://correctiv.org/aktuelles/neue-rechte/2024/01/10/geheimplan-remigration-vertreibung-afd-rechtsextreme-november-treffen/</w:t>
        </w:r>
      </w:hyperlink>
      <w:r w:rsidR="009949D9" w:rsidRPr="003340D9">
        <w:rPr>
          <w:rFonts w:ascii="Times New Roman" w:hAnsi="Times New Roman" w:cs="Times New Roman"/>
          <w:lang w:val="de-AT"/>
        </w:rPr>
        <w:t xml:space="preserve"> </w:t>
      </w:r>
      <w:r w:rsidR="003340D9" w:rsidRPr="003340D9">
        <w:rPr>
          <w:rFonts w:ascii="Times New Roman" w:hAnsi="Times New Roman" w:cs="Times New Roman"/>
          <w:lang w:val="de-AT"/>
        </w:rPr>
        <w:t xml:space="preserve"> Die Veröffentlichung führte zu Rechtsstreitigkeiten; zur aktuellen Lage zum Zeitpunkt der Erstellung dieses Beitrags siehe:</w:t>
      </w:r>
      <w:r w:rsidR="003340D9">
        <w:rPr>
          <w:rFonts w:ascii="Times New Roman" w:hAnsi="Times New Roman" w:cs="Times New Roman"/>
          <w:lang w:val="de-AT"/>
        </w:rPr>
        <w:t xml:space="preserve"> </w:t>
      </w:r>
      <w:hyperlink r:id="rId7" w:history="1">
        <w:r w:rsidR="003340D9" w:rsidRPr="00204FEE">
          <w:rPr>
            <w:rStyle w:val="Hyperlink"/>
            <w:rFonts w:ascii="Times New Roman" w:hAnsi="Times New Roman" w:cs="Times New Roman"/>
            <w:lang w:val="de-AT"/>
          </w:rPr>
          <w:t>https://correctiv.org/aktuelles/afd/2026/05/19/kammergericht-treffen-in-potsdam-darf-als-deportationskonferenz-bezeichnet-werden/</w:t>
        </w:r>
      </w:hyperlink>
      <w:r w:rsidR="003340D9">
        <w:rPr>
          <w:rFonts w:ascii="Times New Roman" w:hAnsi="Times New Roman" w:cs="Times New Roman"/>
          <w:lang w:val="de-AT"/>
        </w:rPr>
        <w:t xml:space="preserve"> </w:t>
      </w:r>
    </w:p>
  </w:footnote>
  <w:footnote w:id="9">
    <w:p w14:paraId="0A92DD19" w14:textId="0BF71494" w:rsidR="001E2C01" w:rsidRPr="001E2C01" w:rsidRDefault="001E2C01" w:rsidP="001E2C01">
      <w:pPr>
        <w:pStyle w:val="Funotentext"/>
        <w:jc w:val="both"/>
        <w:rPr>
          <w:rFonts w:ascii="Times New Roman" w:hAnsi="Times New Roman" w:cs="Times New Roman"/>
          <w:lang w:val="hu-HU"/>
        </w:rPr>
      </w:pPr>
      <w:r w:rsidRPr="001E2C01">
        <w:rPr>
          <w:rStyle w:val="Funotenzeichen"/>
          <w:rFonts w:ascii="Times New Roman" w:hAnsi="Times New Roman" w:cs="Times New Roman"/>
          <w:lang w:val="de-AT"/>
        </w:rPr>
        <w:footnoteRef/>
      </w:r>
      <w:r w:rsidRPr="001E2C01">
        <w:rPr>
          <w:rFonts w:ascii="Times New Roman" w:hAnsi="Times New Roman" w:cs="Times New Roman"/>
          <w:lang w:val="de-AT"/>
        </w:rPr>
        <w:t xml:space="preserve"> Dieser Abschnitt stützt sich auf meine Forschungsarbeiten im Rahmen meiner in Vorbereitung befindlichen Dissertation</w:t>
      </w:r>
      <w:r w:rsidR="00444F97">
        <w:rPr>
          <w:rFonts w:ascii="Times New Roman" w:hAnsi="Times New Roman" w:cs="Times New Roman"/>
          <w:lang w:val="hu-HU"/>
        </w:rPr>
        <w:t xml:space="preserve"> </w:t>
      </w:r>
      <w:r w:rsidR="00444F97" w:rsidRPr="00444F97">
        <w:rPr>
          <w:rFonts w:ascii="Times New Roman" w:hAnsi="Times New Roman" w:cs="Times New Roman"/>
          <w:lang w:val="hu-HU"/>
        </w:rPr>
        <w:t>mit dem Arbeitstitel: „</w:t>
      </w:r>
      <w:r w:rsidR="00444F97" w:rsidRPr="00444F97">
        <w:rPr>
          <w:rFonts w:ascii="Times New Roman" w:hAnsi="Times New Roman" w:cs="Times New Roman"/>
          <w:i/>
          <w:iCs/>
          <w:lang w:val="hu-HU"/>
        </w:rPr>
        <w:t xml:space="preserve">Intellekt – Genius. Die Vorgeschichte von Recht und Literatur in der ungarischen Rechtsphilosophie der </w:t>
      </w:r>
      <w:proofErr w:type="gramStart"/>
      <w:r w:rsidR="00444F97" w:rsidRPr="00444F97">
        <w:rPr>
          <w:rFonts w:ascii="Times New Roman" w:hAnsi="Times New Roman" w:cs="Times New Roman"/>
          <w:i/>
          <w:iCs/>
          <w:lang w:val="hu-HU"/>
        </w:rPr>
        <w:t>Zwischenkriegszeit</w:t>
      </w:r>
      <w:r w:rsidR="00444F97" w:rsidRPr="00444F97">
        <w:rPr>
          <w:rFonts w:ascii="Times New Roman" w:hAnsi="Times New Roman" w:cs="Times New Roman"/>
          <w:lang w:val="hu-HU"/>
        </w:rPr>
        <w:t>“</w:t>
      </w:r>
      <w:proofErr w:type="gramEnd"/>
    </w:p>
  </w:footnote>
  <w:footnote w:id="10">
    <w:p w14:paraId="127F46BF" w14:textId="025711B4" w:rsidR="00C60B9D" w:rsidRDefault="00000000">
      <w:pPr>
        <w:spacing w:line="240" w:lineRule="auto"/>
        <w:jc w:val="both"/>
        <w:rPr>
          <w:rFonts w:ascii="Georgia" w:hAnsi="Georgia"/>
          <w:color w:val="3A3A3A"/>
          <w:sz w:val="23"/>
          <w:szCs w:val="23"/>
        </w:rPr>
      </w:pPr>
      <w:r>
        <w:rPr>
          <w:rStyle w:val="Lbjegyzet-karakterek"/>
        </w:rPr>
        <w:footnoteRef/>
      </w:r>
      <w:r>
        <w:t xml:space="preserve"> </w:t>
      </w:r>
      <w:r>
        <w:rPr>
          <w:rFonts w:ascii="Times New Roman" w:hAnsi="Times New Roman" w:cs="Times New Roman"/>
          <w:sz w:val="20"/>
          <w:szCs w:val="20"/>
        </w:rPr>
        <w:t>McCrudden, Christopher: Legal research and the social sciences In: The Law Quarterly Review.  122. O</w:t>
      </w:r>
      <w:r w:rsidR="006A68FF">
        <w:rPr>
          <w:rFonts w:ascii="Times New Roman" w:hAnsi="Times New Roman" w:cs="Times New Roman"/>
          <w:sz w:val="20"/>
          <w:szCs w:val="20"/>
        </w:rPr>
        <w:t>c</w:t>
      </w:r>
      <w:r>
        <w:rPr>
          <w:rFonts w:ascii="Times New Roman" w:hAnsi="Times New Roman" w:cs="Times New Roman"/>
          <w:sz w:val="20"/>
          <w:szCs w:val="20"/>
        </w:rPr>
        <w:t xml:space="preserve">t. (2006.) p.632-650.; The Oxford handbook of empirical legal research. Oxford; New York: Oxford University Press, 2012. xv, 1094 p. </w:t>
      </w:r>
      <w:hyperlink r:id="rId8" w:tgtFrame="_blank">
        <w:r w:rsidR="00C60B9D">
          <w:rPr>
            <w:rFonts w:ascii="Times New Roman" w:hAnsi="Times New Roman" w:cs="Times New Roman"/>
            <w:sz w:val="20"/>
            <w:szCs w:val="20"/>
          </w:rPr>
          <w:t>Baron, Jane B.</w:t>
        </w:r>
      </w:hyperlink>
      <w:r>
        <w:rPr>
          <w:rFonts w:ascii="Times New Roman" w:hAnsi="Times New Roman" w:cs="Times New Roman"/>
          <w:sz w:val="20"/>
          <w:szCs w:val="20"/>
        </w:rPr>
        <w:t>: Law, Literature, and the Problems of Interdisciplinarity. Essay. In: Yale Law Journal , Vol. 108, Issue 5 (March 1999), pp. 1059-1086.</w:t>
      </w:r>
      <w:hyperlink r:id="rId9" w:tgtFrame="_blank">
        <w:r w:rsidR="00C60B9D">
          <w:rPr>
            <w:rFonts w:ascii="Times New Roman" w:hAnsi="Times New Roman" w:cs="Times New Roman"/>
            <w:sz w:val="20"/>
            <w:szCs w:val="20"/>
          </w:rPr>
          <w:t>Vick, Douglas W.</w:t>
        </w:r>
      </w:hyperlink>
      <w:r>
        <w:rPr>
          <w:rFonts w:ascii="Times New Roman" w:hAnsi="Times New Roman" w:cs="Times New Roman"/>
          <w:sz w:val="20"/>
          <w:szCs w:val="20"/>
        </w:rPr>
        <w:t> :Interdisciplinary and the Discipline of Law. In: Journal of Law and Society, Vol. 31, Issue 2 (June 2004), pp. 163-193.</w:t>
      </w:r>
      <w:r>
        <w:rPr>
          <w:rFonts w:ascii="Georgia" w:hAnsi="Georgia"/>
        </w:rPr>
        <w:t xml:space="preserve"> </w:t>
      </w:r>
    </w:p>
    <w:p w14:paraId="37C9C176" w14:textId="77777777" w:rsidR="00C60B9D" w:rsidRDefault="00C60B9D">
      <w:pPr>
        <w:pStyle w:val="Funotentext"/>
      </w:pPr>
    </w:p>
  </w:footnote>
  <w:footnote w:id="11">
    <w:p w14:paraId="46F7CEC3" w14:textId="3B7D3AD9" w:rsidR="00E26D66" w:rsidRPr="00E479B7" w:rsidRDefault="00E26D66" w:rsidP="00E479B7">
      <w:pPr>
        <w:pStyle w:val="Funotentext"/>
        <w:jc w:val="both"/>
        <w:rPr>
          <w:rFonts w:ascii="Times New Roman" w:hAnsi="Times New Roman" w:cs="Times New Roman"/>
        </w:rPr>
      </w:pPr>
      <w:r w:rsidRPr="00E26D66">
        <w:rPr>
          <w:rStyle w:val="Funotenzeichen"/>
          <w:rFonts w:ascii="Times New Roman" w:hAnsi="Times New Roman" w:cs="Times New Roman"/>
        </w:rPr>
        <w:footnoteRef/>
      </w:r>
      <w:r w:rsidRPr="00E26D66">
        <w:rPr>
          <w:rFonts w:ascii="Times New Roman" w:hAnsi="Times New Roman" w:cs="Times New Roman"/>
        </w:rPr>
        <w:t xml:space="preserve"> Elizabeth Villiers Gemette: Law and Literature: An Unnecessarily Suspect Class in the Liberal Arts</w:t>
      </w:r>
      <w:r w:rsidR="00E479B7">
        <w:rPr>
          <w:rFonts w:ascii="Times New Roman" w:hAnsi="Times New Roman" w:cs="Times New Roman"/>
        </w:rPr>
        <w:t xml:space="preserve"> </w:t>
      </w:r>
      <w:r w:rsidRPr="00E26D66">
        <w:rPr>
          <w:rFonts w:ascii="Times New Roman" w:hAnsi="Times New Roman" w:cs="Times New Roman"/>
        </w:rPr>
        <w:t xml:space="preserve">Component of the Law School Curriculum, 23. Valparaiso University Law Review (1988), 267–340.Jane B. Baron: Law, Literature and the Problem of Interdisciplinarity, 108. </w:t>
      </w:r>
      <w:r w:rsidRPr="00E479B7">
        <w:rPr>
          <w:rFonts w:ascii="Times New Roman" w:hAnsi="Times New Roman" w:cs="Times New Roman"/>
        </w:rPr>
        <w:t>Yale Law Journal (1998),1059–1085</w:t>
      </w:r>
    </w:p>
  </w:footnote>
  <w:footnote w:id="12">
    <w:p w14:paraId="28FC352A" w14:textId="4F9DD0FE" w:rsidR="00CE12A3" w:rsidRPr="00CE12A3" w:rsidRDefault="00CE12A3" w:rsidP="00E479B7">
      <w:pPr>
        <w:pStyle w:val="Funotentext"/>
        <w:jc w:val="both"/>
        <w:rPr>
          <w:lang w:val="de-AT"/>
        </w:rPr>
      </w:pPr>
      <w:r w:rsidRPr="00E479B7">
        <w:rPr>
          <w:rStyle w:val="Funotenzeichen"/>
          <w:rFonts w:ascii="Times New Roman" w:hAnsi="Times New Roman" w:cs="Times New Roman"/>
        </w:rPr>
        <w:footnoteRef/>
      </w:r>
      <w:r w:rsidRPr="00E479B7">
        <w:rPr>
          <w:rFonts w:ascii="Times New Roman" w:hAnsi="Times New Roman" w:cs="Times New Roman"/>
          <w:lang w:val="it-IT"/>
        </w:rPr>
        <w:t xml:space="preserve"> Horváth Barna</w:t>
      </w:r>
      <w:r w:rsidRPr="00CE12A3">
        <w:rPr>
          <w:rFonts w:ascii="Times New Roman" w:hAnsi="Times New Roman" w:cs="Times New Roman"/>
          <w:lang w:val="it-IT"/>
        </w:rPr>
        <w:t xml:space="preserve">: </w:t>
      </w:r>
      <w:r w:rsidRPr="00CE12A3">
        <w:rPr>
          <w:rFonts w:ascii="Times New Roman" w:hAnsi="Times New Roman" w:cs="Times New Roman"/>
          <w:i/>
          <w:iCs/>
          <w:lang w:val="it-IT"/>
        </w:rPr>
        <w:t>A géniusz pere Socrates – Johanna.</w:t>
      </w:r>
      <w:r w:rsidRPr="00CE12A3">
        <w:rPr>
          <w:rFonts w:ascii="Times New Roman" w:hAnsi="Times New Roman" w:cs="Times New Roman"/>
          <w:lang w:val="it-IT"/>
        </w:rPr>
        <w:t xml:space="preserve">  Acta juridico-politica 3. Universitas Francisco-Josephina, Kolozsvár, Nagy Jenő és Fia könyvnyomdája 1942, 228. </w:t>
      </w:r>
      <w:r w:rsidRPr="00CE12A3">
        <w:rPr>
          <w:rFonts w:ascii="Times New Roman" w:hAnsi="Times New Roman" w:cs="Times New Roman"/>
          <w:lang w:val="de-AT"/>
        </w:rPr>
        <w:t xml:space="preserve">In einer neuen ungarischen Ausgabe: Horváth Barna: </w:t>
      </w:r>
      <w:r w:rsidRPr="00CE12A3">
        <w:rPr>
          <w:rFonts w:ascii="Times New Roman" w:hAnsi="Times New Roman" w:cs="Times New Roman"/>
          <w:i/>
          <w:iCs/>
          <w:lang w:val="de-AT"/>
        </w:rPr>
        <w:t>A géniusz pere Szókratész – Johanna</w:t>
      </w:r>
      <w:r w:rsidRPr="00CE12A3">
        <w:rPr>
          <w:rFonts w:ascii="Times New Roman" w:hAnsi="Times New Roman" w:cs="Times New Roman"/>
          <w:lang w:val="de-AT"/>
        </w:rPr>
        <w:t xml:space="preserve">. </w:t>
      </w:r>
      <w:r w:rsidRPr="00CE12A3">
        <w:rPr>
          <w:rFonts w:ascii="Times New Roman" w:hAnsi="Times New Roman" w:cs="Times New Roman"/>
          <w:lang w:val="it-IT"/>
        </w:rPr>
        <w:t>Bibliotheca Iuridica. Az ELTE Állam- és Jogtudományi Kar tudományos kiadványai. Opera Classica. (</w:t>
      </w:r>
      <w:r w:rsidRPr="00CE12A3">
        <w:rPr>
          <w:rFonts w:ascii="Times New Roman" w:hAnsi="Times New Roman" w:cs="Times New Roman"/>
          <w:smallCaps/>
          <w:lang w:val="it-IT"/>
        </w:rPr>
        <w:t>Cs.</w:t>
      </w:r>
      <w:r w:rsidR="004F43E7">
        <w:rPr>
          <w:rFonts w:ascii="Times New Roman" w:hAnsi="Times New Roman" w:cs="Times New Roman"/>
          <w:lang w:val="it-IT"/>
        </w:rPr>
        <w:t xml:space="preserve"> Kiss </w:t>
      </w:r>
      <w:r w:rsidRPr="00CE12A3">
        <w:rPr>
          <w:rFonts w:ascii="Times New Roman" w:hAnsi="Times New Roman" w:cs="Times New Roman"/>
          <w:lang w:val="it-IT"/>
        </w:rPr>
        <w:t xml:space="preserve">Lajos </w:t>
      </w:r>
      <w:r w:rsidR="004F43E7">
        <w:rPr>
          <w:rFonts w:ascii="Times New Roman" w:hAnsi="Times New Roman" w:cs="Times New Roman"/>
          <w:lang w:val="it-IT"/>
        </w:rPr>
        <w:t>H</w:t>
      </w:r>
      <w:r>
        <w:rPr>
          <w:rFonts w:ascii="Times New Roman" w:hAnsi="Times New Roman" w:cs="Times New Roman"/>
          <w:lang w:val="it-IT"/>
        </w:rPr>
        <w:t>rsg.</w:t>
      </w:r>
      <w:r w:rsidRPr="00CE12A3">
        <w:rPr>
          <w:rFonts w:ascii="Times New Roman" w:hAnsi="Times New Roman" w:cs="Times New Roman"/>
          <w:lang w:val="it-IT"/>
        </w:rPr>
        <w:t>) Attraktor Máriabesnyő-Gödöllő 2003.</w:t>
      </w:r>
      <w:r w:rsidRPr="00CE12A3">
        <w:rPr>
          <w:lang w:val="it-IT"/>
        </w:rPr>
        <w:t xml:space="preserve"> </w:t>
      </w:r>
      <w:r w:rsidRPr="00CE12A3">
        <w:rPr>
          <w:rFonts w:ascii="Times New Roman" w:hAnsi="Times New Roman" w:cs="Times New Roman"/>
          <w:lang w:val="de-AT"/>
        </w:rPr>
        <w:t xml:space="preserve">Eine gekürzte und überarbeitete Fassung der Studie erschien 1942 auch in deutscher Sprache in einer Fachzeitschrift des in Wien ansässigen Springer-Verlags: Barna </w:t>
      </w:r>
      <w:r>
        <w:rPr>
          <w:rFonts w:ascii="Times New Roman" w:hAnsi="Times New Roman" w:cs="Times New Roman"/>
          <w:lang w:val="de-AT"/>
        </w:rPr>
        <w:t>Horváth</w:t>
      </w:r>
      <w:r w:rsidRPr="00CE12A3">
        <w:rPr>
          <w:rFonts w:ascii="Times New Roman" w:hAnsi="Times New Roman" w:cs="Times New Roman"/>
          <w:lang w:val="de-AT"/>
        </w:rPr>
        <w:t xml:space="preserve">: Der Rechtsstreit des Genius: I Socrates; II Johanna: a) Der Tatbestand; II Johanna: Das Verfahren. </w:t>
      </w:r>
      <w:r w:rsidRPr="00CE12A3">
        <w:rPr>
          <w:rFonts w:ascii="Times New Roman" w:hAnsi="Times New Roman" w:cs="Times New Roman"/>
          <w:i/>
          <w:iCs/>
          <w:lang w:val="de-AT"/>
        </w:rPr>
        <w:t>Zeitschrift für öffentliches Recht</w:t>
      </w:r>
      <w:r w:rsidRPr="00CE12A3">
        <w:rPr>
          <w:rFonts w:ascii="Times New Roman" w:hAnsi="Times New Roman" w:cs="Times New Roman"/>
          <w:lang w:val="de-AT"/>
        </w:rPr>
        <w:t xml:space="preserve"> XXII (1942) 1, 126-162; 2-3, 295-342; 4-5, 395-460.</w:t>
      </w:r>
    </w:p>
  </w:footnote>
  <w:footnote w:id="13">
    <w:p w14:paraId="436BA6FE" w14:textId="00269216" w:rsidR="00E8048A" w:rsidRPr="00CE12A3" w:rsidRDefault="00E8048A" w:rsidP="00E8048A">
      <w:pPr>
        <w:pStyle w:val="Funotentext"/>
        <w:jc w:val="both"/>
        <w:rPr>
          <w:rFonts w:ascii="Times New Roman" w:hAnsi="Times New Roman" w:cs="Times New Roman"/>
          <w:lang w:val="de-AT"/>
        </w:rPr>
      </w:pPr>
      <w:r w:rsidRPr="00E8048A">
        <w:rPr>
          <w:rStyle w:val="Funotenzeichen"/>
          <w:rFonts w:ascii="Times New Roman" w:hAnsi="Times New Roman" w:cs="Times New Roman"/>
        </w:rPr>
        <w:footnoteRef/>
      </w:r>
      <w:r w:rsidRPr="00CE12A3">
        <w:rPr>
          <w:rFonts w:ascii="Times New Roman" w:hAnsi="Times New Roman" w:cs="Times New Roman"/>
          <w:lang w:val="de-AT"/>
        </w:rPr>
        <w:t xml:space="preserve"> Rechtssache C-808/18, Kommission gegen Ungarn („Accueil des demandeurs de protection internationale“)</w:t>
      </w:r>
    </w:p>
  </w:footnote>
  <w:footnote w:id="14">
    <w:p w14:paraId="497F1AB9" w14:textId="3D545574" w:rsidR="00E8048A" w:rsidRPr="00D37307" w:rsidRDefault="00E8048A" w:rsidP="00A4065E">
      <w:pPr>
        <w:pStyle w:val="Funotentext"/>
        <w:jc w:val="both"/>
        <w:rPr>
          <w:rFonts w:ascii="Times New Roman" w:hAnsi="Times New Roman" w:cs="Times New Roman"/>
          <w:lang w:val="fr-FR"/>
        </w:rPr>
      </w:pPr>
      <w:r w:rsidRPr="00A4065E">
        <w:rPr>
          <w:rStyle w:val="Funotenzeichen"/>
          <w:rFonts w:ascii="Times New Roman" w:hAnsi="Times New Roman" w:cs="Times New Roman"/>
        </w:rPr>
        <w:footnoteRef/>
      </w:r>
      <w:r w:rsidRPr="00A4065E">
        <w:rPr>
          <w:rFonts w:ascii="Times New Roman" w:hAnsi="Times New Roman" w:cs="Times New Roman"/>
          <w:lang w:val="de-AT"/>
        </w:rPr>
        <w:t xml:space="preserve"> </w:t>
      </w:r>
      <w:r w:rsidR="00A4065E" w:rsidRPr="00A4065E">
        <w:rPr>
          <w:rFonts w:ascii="Times New Roman" w:hAnsi="Times New Roman" w:cs="Times New Roman"/>
          <w:lang w:val="de-AT"/>
        </w:rPr>
        <w:t>Bestehen einer eindeutigen Gefahr einer schwerwiegenden Verletzung der Werte, auf die sich die Union gründet, durch Ungarn. Entschließung des Europäischen Parlaments vom 15. September 2022 zu dem Vorschlag für einen Beschluss des Rates gemäß Artikel 7 Absatz 1 des Vertrags über die Europäische Union zum Bestehen einer eindeutigen Gefahr einer schwerwiegenden Verletzung der Werte, auf die sich die Union gründet, durch Ungarn.</w:t>
      </w:r>
      <w:r w:rsidR="00A4065E">
        <w:rPr>
          <w:rFonts w:ascii="Times New Roman" w:hAnsi="Times New Roman" w:cs="Times New Roman"/>
          <w:lang w:val="de-AT"/>
        </w:rPr>
        <w:t xml:space="preserve"> </w:t>
      </w:r>
      <w:r w:rsidR="00A4065E" w:rsidRPr="00D37307">
        <w:rPr>
          <w:rFonts w:ascii="Times New Roman" w:hAnsi="Times New Roman" w:cs="Times New Roman"/>
          <w:lang w:val="fr-FR"/>
        </w:rPr>
        <w:t>Tz. DC</w:t>
      </w:r>
    </w:p>
  </w:footnote>
  <w:footnote w:id="15">
    <w:p w14:paraId="45C0B2A1" w14:textId="572D78C1" w:rsidR="00505732" w:rsidRPr="00D37307" w:rsidRDefault="00505732" w:rsidP="00505732">
      <w:pPr>
        <w:pStyle w:val="Funotentext"/>
        <w:jc w:val="both"/>
        <w:rPr>
          <w:rFonts w:ascii="Times New Roman" w:hAnsi="Times New Roman" w:cs="Times New Roman"/>
          <w:lang w:val="fr-FR"/>
        </w:rPr>
      </w:pPr>
      <w:r>
        <w:rPr>
          <w:rStyle w:val="Funotenzeichen"/>
        </w:rPr>
        <w:footnoteRef/>
      </w:r>
      <w:r w:rsidRPr="00D37307">
        <w:rPr>
          <w:lang w:val="fr-FR"/>
        </w:rPr>
        <w:t xml:space="preserve"> </w:t>
      </w:r>
      <w:r w:rsidRPr="00D37307">
        <w:rPr>
          <w:rFonts w:ascii="Times New Roman" w:hAnsi="Times New Roman" w:cs="Times New Roman"/>
          <w:lang w:val="fr-FR"/>
        </w:rPr>
        <w:t>Rechtssache C-123/22, Kommission gegen Ungarn („Accueil des demandeurs de protection internationale“ II.)</w:t>
      </w:r>
    </w:p>
  </w:footnote>
  <w:footnote w:id="16">
    <w:p w14:paraId="00AF1265" w14:textId="7B76D615" w:rsidR="002F0BD4" w:rsidRPr="00986845" w:rsidRDefault="002F0BD4">
      <w:pPr>
        <w:pStyle w:val="Funotentext"/>
        <w:rPr>
          <w:lang w:val="fr-FR"/>
        </w:rPr>
      </w:pPr>
      <w:r>
        <w:rPr>
          <w:rStyle w:val="Funotenzeichen"/>
        </w:rPr>
        <w:footnoteRef/>
      </w:r>
      <w:r w:rsidRPr="00986845">
        <w:rPr>
          <w:lang w:val="fr-FR"/>
        </w:rPr>
        <w:t xml:space="preserve"> </w:t>
      </w:r>
      <w:r w:rsidRPr="00D37307">
        <w:rPr>
          <w:rFonts w:ascii="Times New Roman" w:hAnsi="Times New Roman" w:cs="Times New Roman"/>
          <w:lang w:val="fr-FR"/>
        </w:rPr>
        <w:t>Rechtssache C-823/21, Kommission gegen Ungarn</w:t>
      </w:r>
      <w:r w:rsidRPr="00986845">
        <w:rPr>
          <w:rFonts w:ascii="Times New Roman" w:hAnsi="Times New Roman" w:cs="Times New Roman"/>
          <w:lang w:val="fr-FR"/>
        </w:rPr>
        <w:t xml:space="preserve"> („Déclaration d’intention préalable à une demande d’asile“)</w:t>
      </w:r>
    </w:p>
  </w:footnote>
  <w:footnote w:id="17">
    <w:p w14:paraId="3F5BBD59" w14:textId="6DDA7388" w:rsidR="00F45E42" w:rsidRPr="00F45E42" w:rsidRDefault="00F45E42" w:rsidP="00F45E42">
      <w:pPr>
        <w:pStyle w:val="Funotentext"/>
        <w:jc w:val="both"/>
        <w:rPr>
          <w:rFonts w:ascii="Times New Roman" w:hAnsi="Times New Roman" w:cs="Times New Roman"/>
        </w:rPr>
      </w:pPr>
      <w:r w:rsidRPr="00F45E42">
        <w:rPr>
          <w:rStyle w:val="Funotenzeichen"/>
          <w:rFonts w:ascii="Times New Roman" w:hAnsi="Times New Roman" w:cs="Times New Roman"/>
        </w:rPr>
        <w:footnoteRef/>
      </w:r>
      <w:r w:rsidRPr="00F45E42">
        <w:rPr>
          <w:rFonts w:ascii="Times New Roman" w:hAnsi="Times New Roman" w:cs="Times New Roman"/>
        </w:rPr>
        <w:t xml:space="preserve"> Fn 7, Tz. DO</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proofState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B9D"/>
    <w:rsid w:val="00027E68"/>
    <w:rsid w:val="000638D0"/>
    <w:rsid w:val="0007224D"/>
    <w:rsid w:val="000B5B83"/>
    <w:rsid w:val="000E1641"/>
    <w:rsid w:val="001023C6"/>
    <w:rsid w:val="0013048C"/>
    <w:rsid w:val="001401AD"/>
    <w:rsid w:val="0017641A"/>
    <w:rsid w:val="001C45CD"/>
    <w:rsid w:val="001E2C01"/>
    <w:rsid w:val="001E33C6"/>
    <w:rsid w:val="002117B6"/>
    <w:rsid w:val="00240599"/>
    <w:rsid w:val="002950A7"/>
    <w:rsid w:val="002A701A"/>
    <w:rsid w:val="002B5924"/>
    <w:rsid w:val="002F0BD4"/>
    <w:rsid w:val="00325EB0"/>
    <w:rsid w:val="003340D9"/>
    <w:rsid w:val="00347587"/>
    <w:rsid w:val="00393036"/>
    <w:rsid w:val="003D1E78"/>
    <w:rsid w:val="003F111C"/>
    <w:rsid w:val="00412EF6"/>
    <w:rsid w:val="00436833"/>
    <w:rsid w:val="00444F97"/>
    <w:rsid w:val="004500A0"/>
    <w:rsid w:val="004C01CA"/>
    <w:rsid w:val="004F43E7"/>
    <w:rsid w:val="00503AC7"/>
    <w:rsid w:val="00505732"/>
    <w:rsid w:val="0052798C"/>
    <w:rsid w:val="005477ED"/>
    <w:rsid w:val="005848B0"/>
    <w:rsid w:val="00585EB6"/>
    <w:rsid w:val="005A0A53"/>
    <w:rsid w:val="005B0AF0"/>
    <w:rsid w:val="00665DE6"/>
    <w:rsid w:val="006A68FF"/>
    <w:rsid w:val="006B0E7F"/>
    <w:rsid w:val="006B0F68"/>
    <w:rsid w:val="006D595A"/>
    <w:rsid w:val="006F6D93"/>
    <w:rsid w:val="00710B03"/>
    <w:rsid w:val="007131A4"/>
    <w:rsid w:val="0072756D"/>
    <w:rsid w:val="0074116A"/>
    <w:rsid w:val="00761945"/>
    <w:rsid w:val="00762002"/>
    <w:rsid w:val="0081017E"/>
    <w:rsid w:val="00821482"/>
    <w:rsid w:val="00832978"/>
    <w:rsid w:val="008443AB"/>
    <w:rsid w:val="00895A32"/>
    <w:rsid w:val="008F2413"/>
    <w:rsid w:val="00947B79"/>
    <w:rsid w:val="009527FD"/>
    <w:rsid w:val="00986845"/>
    <w:rsid w:val="009949D9"/>
    <w:rsid w:val="00997654"/>
    <w:rsid w:val="009D5267"/>
    <w:rsid w:val="009F246F"/>
    <w:rsid w:val="00A103AE"/>
    <w:rsid w:val="00A4065E"/>
    <w:rsid w:val="00A52612"/>
    <w:rsid w:val="00A84608"/>
    <w:rsid w:val="00AB3336"/>
    <w:rsid w:val="00AB44DB"/>
    <w:rsid w:val="00AC4B31"/>
    <w:rsid w:val="00AD1A62"/>
    <w:rsid w:val="00AD7690"/>
    <w:rsid w:val="00B21207"/>
    <w:rsid w:val="00B21DE4"/>
    <w:rsid w:val="00B4532A"/>
    <w:rsid w:val="00B72BE8"/>
    <w:rsid w:val="00BB31F4"/>
    <w:rsid w:val="00BE33C8"/>
    <w:rsid w:val="00BE436F"/>
    <w:rsid w:val="00C02508"/>
    <w:rsid w:val="00C60B9D"/>
    <w:rsid w:val="00C60EDC"/>
    <w:rsid w:val="00CD47E4"/>
    <w:rsid w:val="00CD51C5"/>
    <w:rsid w:val="00CE12A3"/>
    <w:rsid w:val="00D04DF6"/>
    <w:rsid w:val="00D37307"/>
    <w:rsid w:val="00D63651"/>
    <w:rsid w:val="00D773FE"/>
    <w:rsid w:val="00DA1BAA"/>
    <w:rsid w:val="00DC0DF1"/>
    <w:rsid w:val="00DC7AD0"/>
    <w:rsid w:val="00E11423"/>
    <w:rsid w:val="00E12CF7"/>
    <w:rsid w:val="00E26D66"/>
    <w:rsid w:val="00E36B55"/>
    <w:rsid w:val="00E37BA2"/>
    <w:rsid w:val="00E479B7"/>
    <w:rsid w:val="00E607E4"/>
    <w:rsid w:val="00E65BB0"/>
    <w:rsid w:val="00E8048A"/>
    <w:rsid w:val="00E86F69"/>
    <w:rsid w:val="00E95F42"/>
    <w:rsid w:val="00EA14C5"/>
    <w:rsid w:val="00EE3897"/>
    <w:rsid w:val="00EE61FF"/>
    <w:rsid w:val="00F03278"/>
    <w:rsid w:val="00F06245"/>
    <w:rsid w:val="00F45E42"/>
    <w:rsid w:val="00F9047F"/>
    <w:rsid w:val="00FE4E7D"/>
    <w:rsid w:val="00FE6E45"/>
    <w:rsid w:val="00FF16BF"/>
  </w:rsids>
  <m:mathPr>
    <m:mathFont m:val="Cambria Math"/>
    <m:brkBin m:val="before"/>
    <m:brkBinSub m:val="--"/>
    <m:smallFrac m:val="0"/>
    <m:dispDef/>
    <m:lMargin m:val="0"/>
    <m:rMargin m:val="0"/>
    <m:defJc m:val="centerGroup"/>
    <m:wrapIndent m:val="1440"/>
    <m:intLim m:val="subSup"/>
    <m:naryLim m:val="undOvr"/>
  </m:mathPr>
  <w:themeFontLang w:val="hu-H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42989"/>
  <w15:docId w15:val="{964D1DD9-6D42-4FEB-BA74-3A625DB06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hu-HU"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lang w:val="en-GB"/>
    </w:rPr>
  </w:style>
  <w:style w:type="paragraph" w:styleId="berschrift1">
    <w:name w:val="heading 1"/>
    <w:basedOn w:val="Standard"/>
    <w:next w:val="Standard"/>
    <w:link w:val="berschrift1Zchn"/>
    <w:uiPriority w:val="9"/>
    <w:qFormat/>
    <w:rsid w:val="009B75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9B75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9B75C7"/>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9B75C7"/>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9B75C7"/>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9B75C7"/>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9B75C7"/>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9B75C7"/>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9B75C7"/>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qFormat/>
    <w:rsid w:val="009B75C7"/>
    <w:rPr>
      <w:rFonts w:asciiTheme="majorHAnsi" w:eastAsiaTheme="majorEastAsia" w:hAnsiTheme="majorHAnsi" w:cstheme="majorBidi"/>
      <w:color w:val="2F5496" w:themeColor="accent1" w:themeShade="BF"/>
      <w:sz w:val="40"/>
      <w:szCs w:val="40"/>
      <w:lang w:val="en-GB"/>
    </w:rPr>
  </w:style>
  <w:style w:type="character" w:customStyle="1" w:styleId="berschrift2Zchn">
    <w:name w:val="Überschrift 2 Zchn"/>
    <w:basedOn w:val="Absatz-Standardschriftart"/>
    <w:link w:val="berschrift2"/>
    <w:uiPriority w:val="9"/>
    <w:semiHidden/>
    <w:qFormat/>
    <w:rsid w:val="009B75C7"/>
    <w:rPr>
      <w:rFonts w:asciiTheme="majorHAnsi" w:eastAsiaTheme="majorEastAsia" w:hAnsiTheme="majorHAnsi" w:cstheme="majorBidi"/>
      <w:color w:val="2F5496" w:themeColor="accent1" w:themeShade="BF"/>
      <w:sz w:val="32"/>
      <w:szCs w:val="32"/>
      <w:lang w:val="en-GB"/>
    </w:rPr>
  </w:style>
  <w:style w:type="character" w:customStyle="1" w:styleId="berschrift3Zchn">
    <w:name w:val="Überschrift 3 Zchn"/>
    <w:basedOn w:val="Absatz-Standardschriftart"/>
    <w:link w:val="berschrift3"/>
    <w:uiPriority w:val="9"/>
    <w:semiHidden/>
    <w:qFormat/>
    <w:rsid w:val="009B75C7"/>
    <w:rPr>
      <w:rFonts w:eastAsiaTheme="majorEastAsia" w:cstheme="majorBidi"/>
      <w:color w:val="2F5496" w:themeColor="accent1" w:themeShade="BF"/>
      <w:sz w:val="28"/>
      <w:szCs w:val="28"/>
      <w:lang w:val="en-GB"/>
    </w:rPr>
  </w:style>
  <w:style w:type="character" w:customStyle="1" w:styleId="berschrift4Zchn">
    <w:name w:val="Überschrift 4 Zchn"/>
    <w:basedOn w:val="Absatz-Standardschriftart"/>
    <w:link w:val="berschrift4"/>
    <w:uiPriority w:val="9"/>
    <w:semiHidden/>
    <w:qFormat/>
    <w:rsid w:val="009B75C7"/>
    <w:rPr>
      <w:rFonts w:eastAsiaTheme="majorEastAsia" w:cstheme="majorBidi"/>
      <w:i/>
      <w:iCs/>
      <w:color w:val="2F5496" w:themeColor="accent1" w:themeShade="BF"/>
      <w:lang w:val="en-GB"/>
    </w:rPr>
  </w:style>
  <w:style w:type="character" w:customStyle="1" w:styleId="berschrift5Zchn">
    <w:name w:val="Überschrift 5 Zchn"/>
    <w:basedOn w:val="Absatz-Standardschriftart"/>
    <w:link w:val="berschrift5"/>
    <w:uiPriority w:val="9"/>
    <w:semiHidden/>
    <w:qFormat/>
    <w:rsid w:val="009B75C7"/>
    <w:rPr>
      <w:rFonts w:eastAsiaTheme="majorEastAsia" w:cstheme="majorBidi"/>
      <w:color w:val="2F5496" w:themeColor="accent1" w:themeShade="BF"/>
      <w:lang w:val="en-GB"/>
    </w:rPr>
  </w:style>
  <w:style w:type="character" w:customStyle="1" w:styleId="berschrift6Zchn">
    <w:name w:val="Überschrift 6 Zchn"/>
    <w:basedOn w:val="Absatz-Standardschriftart"/>
    <w:link w:val="berschrift6"/>
    <w:uiPriority w:val="9"/>
    <w:semiHidden/>
    <w:qFormat/>
    <w:rsid w:val="009B75C7"/>
    <w:rPr>
      <w:rFonts w:eastAsiaTheme="majorEastAsia" w:cstheme="majorBidi"/>
      <w:i/>
      <w:iCs/>
      <w:color w:val="595959" w:themeColor="text1" w:themeTint="A6"/>
      <w:lang w:val="en-GB"/>
    </w:rPr>
  </w:style>
  <w:style w:type="character" w:customStyle="1" w:styleId="berschrift7Zchn">
    <w:name w:val="Überschrift 7 Zchn"/>
    <w:basedOn w:val="Absatz-Standardschriftart"/>
    <w:link w:val="berschrift7"/>
    <w:uiPriority w:val="9"/>
    <w:semiHidden/>
    <w:qFormat/>
    <w:rsid w:val="009B75C7"/>
    <w:rPr>
      <w:rFonts w:eastAsiaTheme="majorEastAsia" w:cstheme="majorBidi"/>
      <w:color w:val="595959" w:themeColor="text1" w:themeTint="A6"/>
      <w:lang w:val="en-GB"/>
    </w:rPr>
  </w:style>
  <w:style w:type="character" w:customStyle="1" w:styleId="berschrift8Zchn">
    <w:name w:val="Überschrift 8 Zchn"/>
    <w:basedOn w:val="Absatz-Standardschriftart"/>
    <w:link w:val="berschrift8"/>
    <w:uiPriority w:val="9"/>
    <w:semiHidden/>
    <w:qFormat/>
    <w:rsid w:val="009B75C7"/>
    <w:rPr>
      <w:rFonts w:eastAsiaTheme="majorEastAsia" w:cstheme="majorBidi"/>
      <w:i/>
      <w:iCs/>
      <w:color w:val="272727" w:themeColor="text1" w:themeTint="D8"/>
      <w:lang w:val="en-GB"/>
    </w:rPr>
  </w:style>
  <w:style w:type="character" w:customStyle="1" w:styleId="berschrift9Zchn">
    <w:name w:val="Überschrift 9 Zchn"/>
    <w:basedOn w:val="Absatz-Standardschriftart"/>
    <w:link w:val="berschrift9"/>
    <w:uiPriority w:val="9"/>
    <w:semiHidden/>
    <w:qFormat/>
    <w:rsid w:val="009B75C7"/>
    <w:rPr>
      <w:rFonts w:eastAsiaTheme="majorEastAsia" w:cstheme="majorBidi"/>
      <w:color w:val="272727" w:themeColor="text1" w:themeTint="D8"/>
      <w:lang w:val="en-GB"/>
    </w:rPr>
  </w:style>
  <w:style w:type="character" w:customStyle="1" w:styleId="TitelZchn">
    <w:name w:val="Titel Zchn"/>
    <w:basedOn w:val="Absatz-Standardschriftart"/>
    <w:link w:val="Titel"/>
    <w:uiPriority w:val="10"/>
    <w:qFormat/>
    <w:rsid w:val="009B75C7"/>
    <w:rPr>
      <w:rFonts w:asciiTheme="majorHAnsi" w:eastAsiaTheme="majorEastAsia" w:hAnsiTheme="majorHAnsi" w:cstheme="majorBidi"/>
      <w:spacing w:val="-10"/>
      <w:kern w:val="2"/>
      <w:sz w:val="56"/>
      <w:szCs w:val="56"/>
      <w:lang w:val="en-GB"/>
    </w:rPr>
  </w:style>
  <w:style w:type="character" w:customStyle="1" w:styleId="UntertitelZchn">
    <w:name w:val="Untertitel Zchn"/>
    <w:basedOn w:val="Absatz-Standardschriftart"/>
    <w:link w:val="Untertitel"/>
    <w:uiPriority w:val="11"/>
    <w:qFormat/>
    <w:rsid w:val="009B75C7"/>
    <w:rPr>
      <w:rFonts w:eastAsiaTheme="majorEastAsia" w:cstheme="majorBidi"/>
      <w:color w:val="595959" w:themeColor="text1" w:themeTint="A6"/>
      <w:spacing w:val="15"/>
      <w:sz w:val="28"/>
      <w:szCs w:val="28"/>
      <w:lang w:val="en-GB"/>
    </w:rPr>
  </w:style>
  <w:style w:type="character" w:customStyle="1" w:styleId="ZitatZchn">
    <w:name w:val="Zitat Zchn"/>
    <w:basedOn w:val="Absatz-Standardschriftart"/>
    <w:link w:val="Zitat"/>
    <w:uiPriority w:val="29"/>
    <w:qFormat/>
    <w:rsid w:val="009B75C7"/>
    <w:rPr>
      <w:i/>
      <w:iCs/>
      <w:color w:val="404040" w:themeColor="text1" w:themeTint="BF"/>
      <w:lang w:val="en-GB"/>
    </w:rPr>
  </w:style>
  <w:style w:type="character" w:styleId="IntensiveHervorhebung">
    <w:name w:val="Intense Emphasis"/>
    <w:basedOn w:val="Absatz-Standardschriftart"/>
    <w:uiPriority w:val="21"/>
    <w:qFormat/>
    <w:rsid w:val="009B75C7"/>
    <w:rPr>
      <w:i/>
      <w:iCs/>
      <w:color w:val="2F5496" w:themeColor="accent1" w:themeShade="BF"/>
    </w:rPr>
  </w:style>
  <w:style w:type="character" w:customStyle="1" w:styleId="IntensivesZitatZchn">
    <w:name w:val="Intensives Zitat Zchn"/>
    <w:basedOn w:val="Absatz-Standardschriftart"/>
    <w:link w:val="IntensivesZitat"/>
    <w:uiPriority w:val="30"/>
    <w:qFormat/>
    <w:rsid w:val="009B75C7"/>
    <w:rPr>
      <w:i/>
      <w:iCs/>
      <w:color w:val="2F5496" w:themeColor="accent1" w:themeShade="BF"/>
      <w:lang w:val="en-GB"/>
    </w:rPr>
  </w:style>
  <w:style w:type="character" w:styleId="IntensiverVerweis">
    <w:name w:val="Intense Reference"/>
    <w:basedOn w:val="Absatz-Standardschriftart"/>
    <w:uiPriority w:val="32"/>
    <w:qFormat/>
    <w:rsid w:val="009B75C7"/>
    <w:rPr>
      <w:b/>
      <w:bCs/>
      <w:smallCaps/>
      <w:color w:val="2F5496" w:themeColor="accent1" w:themeShade="BF"/>
      <w:spacing w:val="5"/>
    </w:rPr>
  </w:style>
  <w:style w:type="character" w:customStyle="1" w:styleId="FunotentextZchn">
    <w:name w:val="Fußnotentext Zchn"/>
    <w:basedOn w:val="Absatz-Standardschriftart"/>
    <w:link w:val="Funotentext"/>
    <w:uiPriority w:val="99"/>
    <w:semiHidden/>
    <w:qFormat/>
    <w:rsid w:val="00875B55"/>
    <w:rPr>
      <w:sz w:val="20"/>
      <w:szCs w:val="20"/>
      <w:lang w:val="en-GB"/>
    </w:rPr>
  </w:style>
  <w:style w:type="character" w:customStyle="1" w:styleId="Lbjegyzet-karakterek">
    <w:name w:val="Lábjegyzet-karakterek"/>
    <w:basedOn w:val="Absatz-Standardschriftart"/>
    <w:uiPriority w:val="99"/>
    <w:semiHidden/>
    <w:unhideWhenUsed/>
    <w:qFormat/>
    <w:rsid w:val="00875B55"/>
    <w:rPr>
      <w:vertAlign w:val="superscript"/>
    </w:rPr>
  </w:style>
  <w:style w:type="character" w:styleId="Funotenzeichen">
    <w:name w:val="footnote reference"/>
    <w:rPr>
      <w:vertAlign w:val="superscript"/>
    </w:rPr>
  </w:style>
  <w:style w:type="character" w:styleId="Hyperlink">
    <w:name w:val="Hyperlink"/>
    <w:basedOn w:val="Absatz-Standardschriftart"/>
    <w:uiPriority w:val="99"/>
    <w:unhideWhenUsed/>
    <w:rsid w:val="00875B55"/>
    <w:rPr>
      <w:color w:val="0563C1" w:themeColor="hyperlink"/>
      <w:u w:val="single"/>
    </w:rPr>
  </w:style>
  <w:style w:type="character" w:styleId="NichtaufgelsteErwhnung">
    <w:name w:val="Unresolved Mention"/>
    <w:basedOn w:val="Absatz-Standardschriftart"/>
    <w:uiPriority w:val="99"/>
    <w:semiHidden/>
    <w:unhideWhenUsed/>
    <w:qFormat/>
    <w:rsid w:val="00875B55"/>
    <w:rPr>
      <w:color w:val="605E5C"/>
      <w:shd w:val="clear" w:color="auto" w:fill="E1DFDD"/>
    </w:rPr>
  </w:style>
  <w:style w:type="character" w:customStyle="1" w:styleId="KopfzeileZchn">
    <w:name w:val="Kopfzeile Zchn"/>
    <w:basedOn w:val="Absatz-Standardschriftart"/>
    <w:link w:val="Kopfzeile"/>
    <w:uiPriority w:val="99"/>
    <w:qFormat/>
    <w:rsid w:val="00A564D5"/>
    <w:rPr>
      <w:lang w:val="en-GB"/>
    </w:rPr>
  </w:style>
  <w:style w:type="character" w:customStyle="1" w:styleId="FuzeileZchn">
    <w:name w:val="Fußzeile Zchn"/>
    <w:basedOn w:val="Absatz-Standardschriftart"/>
    <w:link w:val="Fuzeile"/>
    <w:uiPriority w:val="99"/>
    <w:qFormat/>
    <w:rsid w:val="00A564D5"/>
    <w:rPr>
      <w:lang w:val="en-GB"/>
    </w:rPr>
  </w:style>
  <w:style w:type="character" w:styleId="Endnotenzeichen">
    <w:name w:val="endnote reference"/>
    <w:rPr>
      <w:vertAlign w:val="superscript"/>
    </w:rPr>
  </w:style>
  <w:style w:type="character" w:customStyle="1" w:styleId="Vgjegyzet-karakterek">
    <w:name w:val="Végjegyzet-karakterek"/>
    <w:qFormat/>
  </w:style>
  <w:style w:type="paragraph" w:customStyle="1" w:styleId="Cmsor">
    <w:name w:val="Címsor"/>
    <w:basedOn w:val="Standard"/>
    <w:next w:val="Textkrper"/>
    <w:qFormat/>
    <w:pPr>
      <w:keepNext/>
      <w:spacing w:before="240" w:after="120"/>
    </w:pPr>
    <w:rPr>
      <w:rFonts w:ascii="Liberation Sans" w:eastAsia="Microsoft YaHei" w:hAnsi="Liberation Sans" w:cs="Arial"/>
      <w:sz w:val="28"/>
      <w:szCs w:val="28"/>
    </w:rPr>
  </w:style>
  <w:style w:type="paragraph" w:styleId="Textkrper">
    <w:name w:val="Body Text"/>
    <w:basedOn w:val="Standard"/>
    <w:pPr>
      <w:spacing w:after="140" w:line="276" w:lineRule="auto"/>
    </w:pPr>
  </w:style>
  <w:style w:type="paragraph" w:styleId="Liste">
    <w:name w:val="List"/>
    <w:basedOn w:val="Textkrper"/>
    <w:rPr>
      <w:rFonts w:cs="Arial"/>
    </w:rPr>
  </w:style>
  <w:style w:type="paragraph" w:styleId="Beschriftung">
    <w:name w:val="caption"/>
    <w:basedOn w:val="Standard"/>
    <w:qFormat/>
    <w:pPr>
      <w:suppressLineNumbers/>
      <w:spacing w:before="120" w:after="120"/>
    </w:pPr>
    <w:rPr>
      <w:rFonts w:cs="Arial"/>
      <w:i/>
      <w:iCs/>
      <w:sz w:val="24"/>
      <w:szCs w:val="24"/>
    </w:rPr>
  </w:style>
  <w:style w:type="paragraph" w:customStyle="1" w:styleId="Trgymutat">
    <w:name w:val="Tárgymutató"/>
    <w:basedOn w:val="Standard"/>
    <w:qFormat/>
    <w:pPr>
      <w:suppressLineNumbers/>
    </w:pPr>
    <w:rPr>
      <w:rFonts w:cs="Arial"/>
    </w:rPr>
  </w:style>
  <w:style w:type="paragraph" w:styleId="Titel">
    <w:name w:val="Title"/>
    <w:basedOn w:val="Standard"/>
    <w:next w:val="Standard"/>
    <w:link w:val="TitelZchn"/>
    <w:uiPriority w:val="10"/>
    <w:qFormat/>
    <w:rsid w:val="009B75C7"/>
    <w:pPr>
      <w:spacing w:after="80" w:line="240" w:lineRule="auto"/>
      <w:contextualSpacing/>
    </w:pPr>
    <w:rPr>
      <w:rFonts w:asciiTheme="majorHAnsi" w:eastAsiaTheme="majorEastAsia" w:hAnsiTheme="majorHAnsi" w:cstheme="majorBidi"/>
      <w:spacing w:val="-10"/>
      <w:sz w:val="56"/>
      <w:szCs w:val="56"/>
    </w:rPr>
  </w:style>
  <w:style w:type="paragraph" w:styleId="Untertitel">
    <w:name w:val="Subtitle"/>
    <w:basedOn w:val="Standard"/>
    <w:next w:val="Standard"/>
    <w:link w:val="UntertitelZchn"/>
    <w:uiPriority w:val="11"/>
    <w:qFormat/>
    <w:rsid w:val="009B75C7"/>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9B75C7"/>
    <w:pPr>
      <w:spacing w:before="160"/>
      <w:jc w:val="center"/>
    </w:pPr>
    <w:rPr>
      <w:i/>
      <w:iCs/>
      <w:color w:val="404040" w:themeColor="text1" w:themeTint="BF"/>
    </w:rPr>
  </w:style>
  <w:style w:type="paragraph" w:styleId="Listenabsatz">
    <w:name w:val="List Paragraph"/>
    <w:basedOn w:val="Standard"/>
    <w:uiPriority w:val="34"/>
    <w:qFormat/>
    <w:rsid w:val="009B75C7"/>
    <w:pPr>
      <w:ind w:left="720"/>
      <w:contextualSpacing/>
    </w:pPr>
  </w:style>
  <w:style w:type="paragraph" w:styleId="IntensivesZitat">
    <w:name w:val="Intense Quote"/>
    <w:basedOn w:val="Standard"/>
    <w:next w:val="Standard"/>
    <w:link w:val="IntensivesZitatZchn"/>
    <w:uiPriority w:val="30"/>
    <w:qFormat/>
    <w:rsid w:val="009B75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paragraph" w:styleId="Funotentext">
    <w:name w:val="footnote text"/>
    <w:basedOn w:val="Standard"/>
    <w:link w:val="FunotentextZchn"/>
    <w:uiPriority w:val="99"/>
    <w:semiHidden/>
    <w:unhideWhenUsed/>
    <w:rsid w:val="00875B55"/>
    <w:pPr>
      <w:spacing w:after="0" w:line="240" w:lineRule="auto"/>
    </w:pPr>
    <w:rPr>
      <w:sz w:val="20"/>
      <w:szCs w:val="20"/>
    </w:rPr>
  </w:style>
  <w:style w:type="paragraph" w:styleId="StandardWeb">
    <w:name w:val="Normal (Web)"/>
    <w:basedOn w:val="Standard"/>
    <w:uiPriority w:val="99"/>
    <w:semiHidden/>
    <w:unhideWhenUsed/>
    <w:qFormat/>
    <w:rsid w:val="00442BE7"/>
    <w:rPr>
      <w:rFonts w:ascii="Times New Roman" w:hAnsi="Times New Roman" w:cs="Times New Roman"/>
      <w:sz w:val="24"/>
      <w:szCs w:val="24"/>
    </w:rPr>
  </w:style>
  <w:style w:type="paragraph" w:customStyle="1" w:styleId="lfejsllb">
    <w:name w:val="Élőfej és élőláb"/>
    <w:basedOn w:val="Standard"/>
    <w:qFormat/>
  </w:style>
  <w:style w:type="paragraph" w:styleId="Kopfzeile">
    <w:name w:val="header"/>
    <w:basedOn w:val="Standard"/>
    <w:link w:val="KopfzeileZchn"/>
    <w:uiPriority w:val="99"/>
    <w:unhideWhenUsed/>
    <w:rsid w:val="00A564D5"/>
    <w:pPr>
      <w:tabs>
        <w:tab w:val="center" w:pos="4513"/>
        <w:tab w:val="right" w:pos="9026"/>
      </w:tabs>
      <w:spacing w:after="0" w:line="240" w:lineRule="auto"/>
    </w:pPr>
  </w:style>
  <w:style w:type="paragraph" w:styleId="Fuzeile">
    <w:name w:val="footer"/>
    <w:basedOn w:val="Standard"/>
    <w:link w:val="FuzeileZchn"/>
    <w:uiPriority w:val="99"/>
    <w:unhideWhenUsed/>
    <w:rsid w:val="00A564D5"/>
    <w:pPr>
      <w:tabs>
        <w:tab w:val="center" w:pos="4513"/>
        <w:tab w:val="right" w:pos="9026"/>
      </w:tabs>
      <w:spacing w:after="0" w:line="240" w:lineRule="auto"/>
    </w:pPr>
  </w:style>
  <w:style w:type="character" w:styleId="BesuchterLink">
    <w:name w:val="FollowedHyperlink"/>
    <w:basedOn w:val="Absatz-Standardschriftart"/>
    <w:uiPriority w:val="99"/>
    <w:semiHidden/>
    <w:unhideWhenUsed/>
    <w:rsid w:val="009D526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footnotes.xml.rels><?xml version="1.0" encoding="UTF-8" standalone="yes"?>
<Relationships xmlns="http://schemas.openxmlformats.org/package/2006/relationships"><Relationship Id="rId8" Type="http://schemas.openxmlformats.org/officeDocument/2006/relationships/hyperlink" Target="https://heinonline.org/HOL/AuthorProfile?action=edit&amp;search_name=Baron%2C%20Jane%20B.&amp;collection=journals" TargetMode="External"/><Relationship Id="rId3" Type="http://schemas.openxmlformats.org/officeDocument/2006/relationships/hyperlink" Target="https://heinonline.org/HOL/AuthorProfile?action=edit&amp;search_name=Vick%2C%20Douglas%20W.&amp;collection=journals" TargetMode="External"/><Relationship Id="rId7" Type="http://schemas.openxmlformats.org/officeDocument/2006/relationships/hyperlink" Target="https://correctiv.org/aktuelles/afd/2026/05/19/kammergericht-treffen-in-potsdam-darf-als-deportationskonferenz-bezeichnet-werden/" TargetMode="External"/><Relationship Id="rId2" Type="http://schemas.openxmlformats.org/officeDocument/2006/relationships/hyperlink" Target="https://heinonline.org/HOL/AuthorProfile?action=edit&amp;search_name=Baron%2C%20Jane%20B.&amp;collection=journals" TargetMode="External"/><Relationship Id="rId1" Type="http://schemas.openxmlformats.org/officeDocument/2006/relationships/hyperlink" Target="https://www.elfriedejelinek.com/die-schutzbefohlenen/" TargetMode="External"/><Relationship Id="rId6" Type="http://schemas.openxmlformats.org/officeDocument/2006/relationships/hyperlink" Target="https://correctiv.org/aktuelles/neue-rechte/2024/01/10/geheimplan-remigration-vertreibung-afd-rechtsextreme-november-treffen/" TargetMode="External"/><Relationship Id="rId5" Type="http://schemas.openxmlformats.org/officeDocument/2006/relationships/hyperlink" Target="https://youtu.be/BkRthP-A_ds?si=Sc7zd5BibOx4YiQr" TargetMode="External"/><Relationship Id="rId4" Type="http://schemas.openxmlformats.org/officeDocument/2006/relationships/hyperlink" Target="https://www.elfriedejelinek.com/die-schutzbefohlenen/" TargetMode="External"/><Relationship Id="rId9" Type="http://schemas.openxmlformats.org/officeDocument/2006/relationships/hyperlink" Target="https://heinonline.org/HOL/AuthorProfile?action=edit&amp;search_name=Vick%2C%20Douglas%20W.&amp;collection=journals"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1B0D4-47DA-441A-8EED-749FFDE72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2532</Words>
  <Characters>15952</Characters>
  <Application>Microsoft Office Word</Application>
  <DocSecurity>0</DocSecurity>
  <Lines>132</Lines>
  <Paragraphs>36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Munkacsi</dc:creator>
  <dc:description/>
  <cp:lastModifiedBy>Rosa Eidelpes</cp:lastModifiedBy>
  <cp:revision>2</cp:revision>
  <dcterms:created xsi:type="dcterms:W3CDTF">2026-06-23T07:11:00Z</dcterms:created>
  <dcterms:modified xsi:type="dcterms:W3CDTF">2026-06-23T07:11:00Z</dcterms:modified>
  <dc:language>hu-HU</dc:language>
</cp:coreProperties>
</file>